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341" w:rsidRPr="00A073AD" w:rsidRDefault="00A82D33" w:rsidP="003E0128">
      <w:pPr>
        <w:pStyle w:val="Ttulo2"/>
        <w:spacing w:line="480" w:lineRule="auto"/>
        <w:jc w:val="center"/>
        <w:rPr>
          <w:rFonts w:ascii="Arial" w:hAnsi="Arial" w:cs="Arial"/>
          <w:b/>
          <w:color w:val="000000" w:themeColor="text1"/>
          <w:sz w:val="36"/>
          <w:szCs w:val="36"/>
        </w:rPr>
      </w:pPr>
      <w:r w:rsidRPr="00A073AD">
        <w:rPr>
          <w:rFonts w:ascii="Arial" w:hAnsi="Arial" w:cs="Arial"/>
          <w:b/>
          <w:color w:val="000000" w:themeColor="text1"/>
          <w:sz w:val="36"/>
          <w:szCs w:val="36"/>
        </w:rPr>
        <w:t>A</w:t>
      </w:r>
      <w:r w:rsidR="00C56982" w:rsidRPr="00A073AD">
        <w:rPr>
          <w:rFonts w:ascii="Arial" w:hAnsi="Arial" w:cs="Arial"/>
          <w:b/>
          <w:color w:val="000000" w:themeColor="text1"/>
          <w:sz w:val="36"/>
          <w:szCs w:val="36"/>
        </w:rPr>
        <w:t>plicación de Tarifas de T</w:t>
      </w:r>
      <w:r w:rsidR="006668F7" w:rsidRPr="00A073AD">
        <w:rPr>
          <w:rFonts w:ascii="Arial" w:hAnsi="Arial" w:cs="Arial"/>
          <w:b/>
          <w:color w:val="000000" w:themeColor="text1"/>
          <w:sz w:val="36"/>
          <w:szCs w:val="36"/>
        </w:rPr>
        <w:t>ermi</w:t>
      </w:r>
      <w:r w:rsidR="00100F1F" w:rsidRPr="00A073AD">
        <w:rPr>
          <w:rFonts w:ascii="Arial" w:hAnsi="Arial" w:cs="Arial"/>
          <w:b/>
          <w:color w:val="000000" w:themeColor="text1"/>
          <w:sz w:val="36"/>
          <w:szCs w:val="36"/>
        </w:rPr>
        <w:t>naci</w:t>
      </w:r>
      <w:r w:rsidR="00C56982" w:rsidRPr="00A073AD">
        <w:rPr>
          <w:rFonts w:ascii="Arial" w:hAnsi="Arial" w:cs="Arial"/>
          <w:b/>
          <w:color w:val="000000" w:themeColor="text1"/>
          <w:sz w:val="36"/>
          <w:szCs w:val="36"/>
        </w:rPr>
        <w:t>ón Asimétrica</w:t>
      </w:r>
      <w:r w:rsidR="00741A19" w:rsidRPr="00A073AD">
        <w:rPr>
          <w:rFonts w:ascii="Arial" w:hAnsi="Arial" w:cs="Arial"/>
          <w:b/>
          <w:color w:val="000000" w:themeColor="text1"/>
          <w:sz w:val="36"/>
          <w:szCs w:val="36"/>
        </w:rPr>
        <w:t>s en el S</w:t>
      </w:r>
      <w:r w:rsidR="00C86341" w:rsidRPr="00A073AD">
        <w:rPr>
          <w:rFonts w:ascii="Arial" w:hAnsi="Arial" w:cs="Arial"/>
          <w:b/>
          <w:color w:val="000000" w:themeColor="text1"/>
          <w:sz w:val="36"/>
          <w:szCs w:val="36"/>
        </w:rPr>
        <w:t>ervicio</w:t>
      </w:r>
      <w:r w:rsidR="00100F1F" w:rsidRPr="00A073AD">
        <w:rPr>
          <w:rFonts w:ascii="Arial" w:hAnsi="Arial" w:cs="Arial"/>
          <w:b/>
          <w:color w:val="000000" w:themeColor="text1"/>
          <w:sz w:val="36"/>
          <w:szCs w:val="36"/>
        </w:rPr>
        <w:t xml:space="preserve"> de </w:t>
      </w:r>
    </w:p>
    <w:p w:rsidR="00A82D33" w:rsidRPr="00A073AD" w:rsidRDefault="00741A19" w:rsidP="003E0128">
      <w:pPr>
        <w:pStyle w:val="Ttulo2"/>
        <w:spacing w:line="480" w:lineRule="auto"/>
        <w:jc w:val="center"/>
        <w:rPr>
          <w:rFonts w:ascii="Arial" w:hAnsi="Arial" w:cs="Arial"/>
          <w:b/>
          <w:color w:val="000000" w:themeColor="text1"/>
          <w:sz w:val="36"/>
          <w:szCs w:val="36"/>
        </w:rPr>
      </w:pPr>
      <w:r w:rsidRPr="00A073AD">
        <w:rPr>
          <w:rFonts w:ascii="Arial" w:hAnsi="Arial" w:cs="Arial"/>
          <w:b/>
          <w:color w:val="000000" w:themeColor="text1"/>
          <w:sz w:val="36"/>
          <w:szCs w:val="36"/>
        </w:rPr>
        <w:t>T</w:t>
      </w:r>
      <w:r w:rsidR="00F51133" w:rsidRPr="00A073AD">
        <w:rPr>
          <w:rFonts w:ascii="Arial" w:hAnsi="Arial" w:cs="Arial"/>
          <w:b/>
          <w:color w:val="000000" w:themeColor="text1"/>
          <w:sz w:val="36"/>
          <w:szCs w:val="36"/>
        </w:rPr>
        <w:t>elecomunicación</w:t>
      </w:r>
      <w:r w:rsidR="00DD0410" w:rsidRPr="00A073AD">
        <w:rPr>
          <w:rFonts w:ascii="Arial" w:hAnsi="Arial" w:cs="Arial"/>
          <w:b/>
          <w:color w:val="000000" w:themeColor="text1"/>
          <w:sz w:val="36"/>
          <w:szCs w:val="36"/>
        </w:rPr>
        <w:t xml:space="preserve"> </w:t>
      </w:r>
      <w:r w:rsidR="000D06DA" w:rsidRPr="00A073AD">
        <w:rPr>
          <w:rFonts w:ascii="Arial" w:hAnsi="Arial" w:cs="Arial"/>
          <w:b/>
          <w:color w:val="000000" w:themeColor="text1"/>
          <w:sz w:val="36"/>
          <w:szCs w:val="36"/>
        </w:rPr>
        <w:t>móvil en México</w:t>
      </w:r>
    </w:p>
    <w:p w:rsidR="00F244E1" w:rsidRPr="005D226A" w:rsidRDefault="00F244E1" w:rsidP="003E0128">
      <w:pPr>
        <w:spacing w:after="0" w:line="480" w:lineRule="auto"/>
        <w:jc w:val="both"/>
        <w:rPr>
          <w:rFonts w:ascii="Times New Roman" w:hAnsi="Times New Roman" w:cs="Times New Roman"/>
          <w:sz w:val="24"/>
          <w:szCs w:val="24"/>
        </w:rPr>
      </w:pPr>
    </w:p>
    <w:p w:rsidR="00EC0A05" w:rsidRPr="00A073AD" w:rsidRDefault="00EC0A05" w:rsidP="00576CC5">
      <w:pPr>
        <w:spacing w:after="0" w:line="240" w:lineRule="auto"/>
        <w:jc w:val="center"/>
        <w:rPr>
          <w:rFonts w:ascii="Times New Roman" w:hAnsi="Times New Roman" w:cs="Times New Roman"/>
          <w:b/>
          <w:color w:val="000000" w:themeColor="text1"/>
          <w:sz w:val="24"/>
          <w:szCs w:val="24"/>
        </w:rPr>
      </w:pPr>
      <w:r w:rsidRPr="00A073AD">
        <w:rPr>
          <w:rFonts w:ascii="Times New Roman" w:hAnsi="Times New Roman" w:cs="Times New Roman"/>
          <w:b/>
          <w:color w:val="000000" w:themeColor="text1"/>
          <w:sz w:val="24"/>
          <w:szCs w:val="24"/>
        </w:rPr>
        <w:t>Rebeca Escobar Briones</w:t>
      </w:r>
    </w:p>
    <w:p w:rsidR="005D226A" w:rsidRPr="00A073AD" w:rsidRDefault="005D226A" w:rsidP="00576CC5">
      <w:pPr>
        <w:spacing w:after="0" w:line="240" w:lineRule="auto"/>
        <w:jc w:val="center"/>
        <w:rPr>
          <w:rFonts w:ascii="Times New Roman" w:hAnsi="Times New Roman" w:cs="Times New Roman"/>
          <w:b/>
          <w:color w:val="000000" w:themeColor="text1"/>
          <w:sz w:val="24"/>
          <w:szCs w:val="24"/>
        </w:rPr>
      </w:pPr>
      <w:r w:rsidRPr="00A073AD">
        <w:rPr>
          <w:rFonts w:ascii="Times New Roman" w:hAnsi="Times New Roman" w:cs="Times New Roman"/>
          <w:b/>
          <w:color w:val="000000" w:themeColor="text1"/>
          <w:sz w:val="24"/>
          <w:szCs w:val="24"/>
        </w:rPr>
        <w:t>Centro de Estudios IFT</w:t>
      </w:r>
    </w:p>
    <w:p w:rsidR="00E24080" w:rsidRPr="00A073AD" w:rsidRDefault="00E24080" w:rsidP="00576CC5">
      <w:pPr>
        <w:spacing w:after="0" w:line="240" w:lineRule="auto"/>
        <w:jc w:val="center"/>
        <w:rPr>
          <w:rFonts w:ascii="Times New Roman" w:hAnsi="Times New Roman" w:cs="Times New Roman"/>
          <w:color w:val="2E74B5" w:themeColor="accent1" w:themeShade="BF"/>
          <w:sz w:val="24"/>
          <w:szCs w:val="24"/>
        </w:rPr>
      </w:pPr>
      <w:proofErr w:type="spellStart"/>
      <w:r w:rsidRPr="00A073AD">
        <w:rPr>
          <w:rFonts w:ascii="Times New Roman" w:hAnsi="Times New Roman" w:cs="Times New Roman"/>
          <w:b/>
          <w:color w:val="2E74B5" w:themeColor="accent1" w:themeShade="BF"/>
          <w:sz w:val="24"/>
          <w:szCs w:val="24"/>
        </w:rPr>
        <w:t>rebeca.escobar</w:t>
      </w:r>
      <w:proofErr w:type="spellEnd"/>
      <w:r w:rsidRPr="00A073AD">
        <w:rPr>
          <w:rFonts w:ascii="Times New Roman" w:hAnsi="Times New Roman" w:cs="Times New Roman"/>
        </w:rPr>
        <w:t xml:space="preserve"> </w:t>
      </w:r>
      <w:r w:rsidRPr="00A073AD">
        <w:rPr>
          <w:rFonts w:ascii="Times New Roman" w:hAnsi="Times New Roman" w:cs="Times New Roman"/>
          <w:b/>
          <w:color w:val="2E74B5" w:themeColor="accent1" w:themeShade="BF"/>
          <w:sz w:val="24"/>
          <w:szCs w:val="24"/>
        </w:rPr>
        <w:t>@ift.org.mx</w:t>
      </w:r>
    </w:p>
    <w:p w:rsidR="008D4F0A" w:rsidRDefault="008D4F0A" w:rsidP="003E391B">
      <w:pPr>
        <w:pStyle w:val="NormalWeb"/>
        <w:spacing w:before="0" w:beforeAutospacing="0" w:after="120" w:afterAutospacing="0"/>
        <w:jc w:val="both"/>
        <w:rPr>
          <w:rFonts w:ascii="Arial" w:hAnsi="Arial" w:cs="Arial"/>
          <w:b/>
          <w:color w:val="000000" w:themeColor="text1"/>
          <w:sz w:val="18"/>
          <w:szCs w:val="18"/>
        </w:rPr>
      </w:pPr>
    </w:p>
    <w:p w:rsidR="005D226A" w:rsidRPr="00745273" w:rsidRDefault="00BB774D" w:rsidP="003E391B">
      <w:pPr>
        <w:pStyle w:val="NormalWeb"/>
        <w:spacing w:before="0" w:beforeAutospacing="0" w:after="120" w:afterAutospacing="0"/>
        <w:jc w:val="both"/>
        <w:rPr>
          <w:rFonts w:ascii="Arial" w:hAnsi="Arial" w:cs="Arial"/>
          <w:b/>
          <w:color w:val="000000" w:themeColor="text1"/>
          <w:sz w:val="18"/>
          <w:szCs w:val="18"/>
        </w:rPr>
      </w:pPr>
      <w:r w:rsidRPr="00745273">
        <w:rPr>
          <w:rFonts w:ascii="Arial" w:hAnsi="Arial" w:cs="Arial"/>
          <w:b/>
          <w:color w:val="000000" w:themeColor="text1"/>
          <w:sz w:val="18"/>
          <w:szCs w:val="18"/>
        </w:rPr>
        <w:t>RESUMEN</w:t>
      </w:r>
    </w:p>
    <w:p w:rsidR="00A05D31" w:rsidRPr="003E391B" w:rsidRDefault="00EB6CCF" w:rsidP="003E391B">
      <w:pPr>
        <w:pStyle w:val="NormalWeb"/>
        <w:spacing w:before="0" w:beforeAutospacing="0" w:after="120" w:afterAutospacing="0"/>
        <w:jc w:val="both"/>
        <w:rPr>
          <w:rFonts w:ascii="Times New Roman" w:hAnsi="Times New Roman"/>
        </w:rPr>
      </w:pPr>
      <w:r w:rsidRPr="003E391B">
        <w:rPr>
          <w:rFonts w:ascii="Times New Roman" w:hAnsi="Times New Roman"/>
        </w:rPr>
        <w:t xml:space="preserve">Se </w:t>
      </w:r>
      <w:r w:rsidR="00A05D31" w:rsidRPr="003E391B">
        <w:rPr>
          <w:rFonts w:ascii="Times New Roman" w:hAnsi="Times New Roman"/>
        </w:rPr>
        <w:t xml:space="preserve">evalúa el impacto de la aplicación de tarifas de terminación móviles (TTM) asimétricas sobre el desempeño de los operadores y la competencia en </w:t>
      </w:r>
      <w:r w:rsidR="00226883" w:rsidRPr="003E391B">
        <w:rPr>
          <w:rFonts w:ascii="Times New Roman" w:hAnsi="Times New Roman"/>
        </w:rPr>
        <w:t>el servicio</w:t>
      </w:r>
      <w:r w:rsidRPr="003E391B">
        <w:rPr>
          <w:rFonts w:ascii="Times New Roman" w:hAnsi="Times New Roman"/>
        </w:rPr>
        <w:t xml:space="preserve"> </w:t>
      </w:r>
      <w:r w:rsidR="00A05D31" w:rsidRPr="003E391B">
        <w:rPr>
          <w:rFonts w:ascii="Times New Roman" w:hAnsi="Times New Roman"/>
        </w:rPr>
        <w:t xml:space="preserve">móvil en México. Con base en el modelo de </w:t>
      </w:r>
      <w:proofErr w:type="spellStart"/>
      <w:r w:rsidR="00A05D31" w:rsidRPr="003E391B">
        <w:rPr>
          <w:rFonts w:ascii="Times New Roman" w:hAnsi="Times New Roman"/>
        </w:rPr>
        <w:t>Peitz</w:t>
      </w:r>
      <w:proofErr w:type="spellEnd"/>
      <w:r w:rsidR="00A05D31" w:rsidRPr="003E391B">
        <w:rPr>
          <w:rFonts w:ascii="Times New Roman" w:hAnsi="Times New Roman"/>
        </w:rPr>
        <w:t xml:space="preserve"> (2005a y b) y los resultados de </w:t>
      </w:r>
      <w:proofErr w:type="spellStart"/>
      <w:r w:rsidR="00A05D31" w:rsidRPr="003E391B">
        <w:rPr>
          <w:rFonts w:ascii="Times New Roman" w:hAnsi="Times New Roman"/>
        </w:rPr>
        <w:t>Baranes</w:t>
      </w:r>
      <w:proofErr w:type="spellEnd"/>
      <w:r w:rsidR="00A05D31" w:rsidRPr="003E391B">
        <w:rPr>
          <w:rFonts w:ascii="Times New Roman" w:hAnsi="Times New Roman"/>
        </w:rPr>
        <w:t xml:space="preserve"> et al (2011</w:t>
      </w:r>
      <w:r w:rsidR="00AD4395">
        <w:rPr>
          <w:rFonts w:ascii="Times New Roman" w:hAnsi="Times New Roman"/>
        </w:rPr>
        <w:t>a y b</w:t>
      </w:r>
      <w:r w:rsidR="00A05D31" w:rsidRPr="003E391B">
        <w:rPr>
          <w:rFonts w:ascii="Times New Roman" w:hAnsi="Times New Roman"/>
        </w:rPr>
        <w:t>), se e</w:t>
      </w:r>
      <w:r w:rsidR="00226883" w:rsidRPr="003E391B">
        <w:rPr>
          <w:rFonts w:ascii="Times New Roman" w:hAnsi="Times New Roman"/>
        </w:rPr>
        <w:t xml:space="preserve">stimaron modelos explicativos. </w:t>
      </w:r>
      <w:r w:rsidR="00A05D31" w:rsidRPr="003E391B">
        <w:rPr>
          <w:rFonts w:ascii="Times New Roman" w:hAnsi="Times New Roman"/>
        </w:rPr>
        <w:t>Se demuestra que la aplicación de TTM asimétricas ha generad</w:t>
      </w:r>
      <w:r w:rsidRPr="003E391B">
        <w:rPr>
          <w:rFonts w:ascii="Times New Roman" w:hAnsi="Times New Roman"/>
        </w:rPr>
        <w:t xml:space="preserve">o </w:t>
      </w:r>
      <w:r w:rsidR="00BB774D" w:rsidRPr="003E391B">
        <w:rPr>
          <w:rFonts w:ascii="Times New Roman" w:hAnsi="Times New Roman"/>
        </w:rPr>
        <w:t xml:space="preserve">importantes </w:t>
      </w:r>
      <w:r w:rsidRPr="003E391B">
        <w:rPr>
          <w:rFonts w:ascii="Times New Roman" w:hAnsi="Times New Roman"/>
        </w:rPr>
        <w:t>beneficios para el consumidor:</w:t>
      </w:r>
      <w:r w:rsidR="00A05D31" w:rsidRPr="003E391B">
        <w:rPr>
          <w:rFonts w:ascii="Times New Roman" w:hAnsi="Times New Roman"/>
        </w:rPr>
        <w:t xml:space="preserve"> menores precios, mayor consumo y un mayor bienestar. Las participaciones de mercado han respondido </w:t>
      </w:r>
      <w:r w:rsidR="00BB774D" w:rsidRPr="003E391B">
        <w:rPr>
          <w:rFonts w:ascii="Times New Roman" w:hAnsi="Times New Roman"/>
        </w:rPr>
        <w:t xml:space="preserve">poco </w:t>
      </w:r>
      <w:r w:rsidR="00A05D31" w:rsidRPr="003E391B">
        <w:rPr>
          <w:rFonts w:ascii="Times New Roman" w:hAnsi="Times New Roman"/>
        </w:rPr>
        <w:t xml:space="preserve">a la aplicación de TTM asimétricas. </w:t>
      </w:r>
      <w:r w:rsidR="00BB774D" w:rsidRPr="003E391B">
        <w:rPr>
          <w:rFonts w:ascii="Times New Roman" w:hAnsi="Times New Roman"/>
        </w:rPr>
        <w:t xml:space="preserve">En el periodo estudiado, la rentabilidad de los operadores medida a través del margen </w:t>
      </w:r>
      <w:proofErr w:type="spellStart"/>
      <w:r w:rsidR="00BB774D" w:rsidRPr="003E391B">
        <w:rPr>
          <w:rFonts w:ascii="Times New Roman" w:hAnsi="Times New Roman"/>
        </w:rPr>
        <w:t>Ebdita</w:t>
      </w:r>
      <w:proofErr w:type="spellEnd"/>
      <w:r w:rsidR="00BB774D" w:rsidRPr="003E391B">
        <w:rPr>
          <w:rFonts w:ascii="Times New Roman" w:hAnsi="Times New Roman"/>
        </w:rPr>
        <w:t xml:space="preserve"> muestra una relación significativa respecto a las TTM, no as</w:t>
      </w:r>
      <w:r w:rsidR="00AF2BAA" w:rsidRPr="003E391B">
        <w:rPr>
          <w:rFonts w:ascii="Times New Roman" w:hAnsi="Times New Roman"/>
        </w:rPr>
        <w:t>í con respecto a la asimet</w:t>
      </w:r>
      <w:r w:rsidR="00BB774D" w:rsidRPr="003E391B">
        <w:rPr>
          <w:rFonts w:ascii="Times New Roman" w:hAnsi="Times New Roman"/>
        </w:rPr>
        <w:t xml:space="preserve">ría de estas. </w:t>
      </w:r>
      <w:r w:rsidR="00A05D31" w:rsidRPr="003E391B">
        <w:rPr>
          <w:rFonts w:ascii="Times New Roman" w:hAnsi="Times New Roman"/>
        </w:rPr>
        <w:t xml:space="preserve">  Los resultados </w:t>
      </w:r>
      <w:r w:rsidR="005B0047" w:rsidRPr="003E391B">
        <w:rPr>
          <w:rFonts w:ascii="Times New Roman" w:hAnsi="Times New Roman"/>
        </w:rPr>
        <w:t xml:space="preserve">encontrados </w:t>
      </w:r>
      <w:r w:rsidR="00A05D31" w:rsidRPr="003E391B">
        <w:rPr>
          <w:rFonts w:ascii="Times New Roman" w:hAnsi="Times New Roman"/>
        </w:rPr>
        <w:t xml:space="preserve">son consistentes con el modelo de </w:t>
      </w:r>
      <w:proofErr w:type="spellStart"/>
      <w:r w:rsidR="00A05D31" w:rsidRPr="003E391B">
        <w:rPr>
          <w:rFonts w:ascii="Times New Roman" w:hAnsi="Times New Roman"/>
        </w:rPr>
        <w:t>Peitz</w:t>
      </w:r>
      <w:proofErr w:type="spellEnd"/>
      <w:r w:rsidR="00A05D31" w:rsidRPr="003E391B">
        <w:rPr>
          <w:rFonts w:ascii="Times New Roman" w:hAnsi="Times New Roman"/>
        </w:rPr>
        <w:t xml:space="preserve">. </w:t>
      </w:r>
    </w:p>
    <w:p w:rsidR="00A05D31" w:rsidRPr="00745273" w:rsidRDefault="00745273" w:rsidP="00745273">
      <w:pPr>
        <w:pStyle w:val="Ttulo3"/>
        <w:keepNext w:val="0"/>
        <w:keepLines w:val="0"/>
        <w:spacing w:before="100" w:beforeAutospacing="1" w:after="120" w:line="240" w:lineRule="auto"/>
        <w:rPr>
          <w:rFonts w:ascii="Arial" w:hAnsi="Arial" w:cs="Arial"/>
          <w:color w:val="000000" w:themeColor="text1"/>
          <w:sz w:val="18"/>
          <w:szCs w:val="18"/>
          <w:lang w:val="en-US"/>
        </w:rPr>
      </w:pPr>
      <w:r w:rsidRPr="00745273">
        <w:rPr>
          <w:rFonts w:ascii="Arial" w:hAnsi="Arial" w:cs="Arial"/>
          <w:b/>
          <w:color w:val="000000" w:themeColor="text1"/>
          <w:sz w:val="18"/>
          <w:szCs w:val="18"/>
          <w:lang w:val="en-US"/>
        </w:rPr>
        <w:t>ABSTRACT</w:t>
      </w:r>
    </w:p>
    <w:p w:rsidR="00A05D31" w:rsidRPr="003E391B" w:rsidRDefault="00A05D31" w:rsidP="00C36258">
      <w:pPr>
        <w:spacing w:after="0" w:line="240" w:lineRule="auto"/>
        <w:jc w:val="both"/>
        <w:rPr>
          <w:rFonts w:ascii="Times New Roman" w:hAnsi="Times New Roman" w:cs="Times New Roman"/>
          <w:sz w:val="20"/>
          <w:szCs w:val="20"/>
          <w:lang w:val="en-US"/>
        </w:rPr>
      </w:pPr>
      <w:r w:rsidRPr="003E391B">
        <w:rPr>
          <w:rFonts w:ascii="Times New Roman" w:hAnsi="Times New Roman" w:cs="Times New Roman"/>
          <w:sz w:val="20"/>
          <w:szCs w:val="20"/>
          <w:lang w:val="en-US"/>
        </w:rPr>
        <w:t>The study assess</w:t>
      </w:r>
      <w:r w:rsidR="00BD4097" w:rsidRPr="003E391B">
        <w:rPr>
          <w:rFonts w:ascii="Times New Roman" w:hAnsi="Times New Roman" w:cs="Times New Roman"/>
          <w:sz w:val="20"/>
          <w:szCs w:val="20"/>
          <w:lang w:val="en-US"/>
        </w:rPr>
        <w:t>es</w:t>
      </w:r>
      <w:r w:rsidRPr="003E391B">
        <w:rPr>
          <w:rFonts w:ascii="Times New Roman" w:hAnsi="Times New Roman" w:cs="Times New Roman"/>
          <w:sz w:val="20"/>
          <w:szCs w:val="20"/>
          <w:lang w:val="en-US"/>
        </w:rPr>
        <w:t xml:space="preserve"> the impact of asymmetric mobile termination rates (MTRs) on the performance of operators in mobile </w:t>
      </w:r>
      <w:r w:rsidR="00EB6CCF" w:rsidRPr="003E391B">
        <w:rPr>
          <w:rFonts w:ascii="Times New Roman" w:hAnsi="Times New Roman" w:cs="Times New Roman"/>
          <w:sz w:val="20"/>
          <w:szCs w:val="20"/>
          <w:lang w:val="en-US"/>
        </w:rPr>
        <w:t>telecommunications</w:t>
      </w:r>
      <w:r w:rsidRPr="003E391B">
        <w:rPr>
          <w:rFonts w:ascii="Times New Roman" w:hAnsi="Times New Roman" w:cs="Times New Roman"/>
          <w:sz w:val="20"/>
          <w:szCs w:val="20"/>
          <w:lang w:val="en-US"/>
        </w:rPr>
        <w:t xml:space="preserve"> in Mexico. Based on</w:t>
      </w:r>
      <w:r w:rsidR="00AD4395">
        <w:rPr>
          <w:rFonts w:ascii="Times New Roman" w:hAnsi="Times New Roman" w:cs="Times New Roman"/>
          <w:sz w:val="20"/>
          <w:szCs w:val="20"/>
          <w:lang w:val="en-US"/>
        </w:rPr>
        <w:t xml:space="preserve"> the </w:t>
      </w:r>
      <w:proofErr w:type="spellStart"/>
      <w:r w:rsidR="00AD4395">
        <w:rPr>
          <w:rFonts w:ascii="Times New Roman" w:hAnsi="Times New Roman" w:cs="Times New Roman"/>
          <w:sz w:val="20"/>
          <w:szCs w:val="20"/>
          <w:lang w:val="en-US"/>
        </w:rPr>
        <w:t>Peitz</w:t>
      </w:r>
      <w:proofErr w:type="spellEnd"/>
      <w:r w:rsidR="00AD4395">
        <w:rPr>
          <w:rFonts w:ascii="Times New Roman" w:hAnsi="Times New Roman" w:cs="Times New Roman"/>
          <w:sz w:val="20"/>
          <w:szCs w:val="20"/>
          <w:lang w:val="en-US"/>
        </w:rPr>
        <w:t xml:space="preserve"> model (2005a and </w:t>
      </w:r>
      <w:r w:rsidRPr="003E391B">
        <w:rPr>
          <w:rFonts w:ascii="Times New Roman" w:hAnsi="Times New Roman" w:cs="Times New Roman"/>
          <w:sz w:val="20"/>
          <w:szCs w:val="20"/>
          <w:lang w:val="en-US"/>
        </w:rPr>
        <w:t xml:space="preserve">b) and the estimated results by </w:t>
      </w:r>
      <w:proofErr w:type="spellStart"/>
      <w:r w:rsidRPr="003E391B">
        <w:rPr>
          <w:rFonts w:ascii="Times New Roman" w:hAnsi="Times New Roman" w:cs="Times New Roman"/>
          <w:sz w:val="20"/>
          <w:szCs w:val="20"/>
          <w:lang w:val="en-US"/>
        </w:rPr>
        <w:t>Baranes</w:t>
      </w:r>
      <w:proofErr w:type="spellEnd"/>
      <w:r w:rsidRPr="003E391B">
        <w:rPr>
          <w:rFonts w:ascii="Times New Roman" w:hAnsi="Times New Roman" w:cs="Times New Roman"/>
          <w:sz w:val="20"/>
          <w:szCs w:val="20"/>
          <w:lang w:val="en-US"/>
        </w:rPr>
        <w:t xml:space="preserve"> et al (2011</w:t>
      </w:r>
      <w:r w:rsidR="0066764C" w:rsidRPr="003E391B">
        <w:rPr>
          <w:rFonts w:ascii="Times New Roman" w:hAnsi="Times New Roman" w:cs="Times New Roman"/>
          <w:sz w:val="20"/>
          <w:szCs w:val="20"/>
          <w:lang w:val="en-US"/>
        </w:rPr>
        <w:t>a and b</w:t>
      </w:r>
      <w:r w:rsidRPr="003E391B">
        <w:rPr>
          <w:rFonts w:ascii="Times New Roman" w:hAnsi="Times New Roman" w:cs="Times New Roman"/>
          <w:sz w:val="20"/>
          <w:szCs w:val="20"/>
          <w:lang w:val="en-US"/>
        </w:rPr>
        <w:t xml:space="preserve">), model specifications were proposed and estimated. We were able to </w:t>
      </w:r>
      <w:r w:rsidR="00BD4097" w:rsidRPr="003E391B">
        <w:rPr>
          <w:rFonts w:ascii="Times New Roman" w:hAnsi="Times New Roman" w:cs="Times New Roman"/>
          <w:sz w:val="20"/>
          <w:szCs w:val="20"/>
          <w:lang w:val="en-US"/>
        </w:rPr>
        <w:t>prove that asymmetrical MTRs have</w:t>
      </w:r>
      <w:r w:rsidRPr="003E391B">
        <w:rPr>
          <w:rFonts w:ascii="Times New Roman" w:hAnsi="Times New Roman" w:cs="Times New Roman"/>
          <w:sz w:val="20"/>
          <w:szCs w:val="20"/>
          <w:lang w:val="en-US"/>
        </w:rPr>
        <w:t xml:space="preserve"> </w:t>
      </w:r>
      <w:r w:rsidR="0066764C" w:rsidRPr="003E391B">
        <w:rPr>
          <w:rFonts w:ascii="Times New Roman" w:hAnsi="Times New Roman" w:cs="Times New Roman"/>
          <w:sz w:val="20"/>
          <w:szCs w:val="20"/>
          <w:lang w:val="en-US"/>
        </w:rPr>
        <w:t xml:space="preserve">significantly </w:t>
      </w:r>
      <w:r w:rsidRPr="003E391B">
        <w:rPr>
          <w:rFonts w:ascii="Times New Roman" w:hAnsi="Times New Roman" w:cs="Times New Roman"/>
          <w:sz w:val="20"/>
          <w:szCs w:val="20"/>
          <w:lang w:val="en-US"/>
        </w:rPr>
        <w:t>benefited consumers, mainly because of the lower</w:t>
      </w:r>
      <w:r w:rsidR="00EB6CCF" w:rsidRPr="003E391B">
        <w:rPr>
          <w:rFonts w:ascii="Times New Roman" w:hAnsi="Times New Roman" w:cs="Times New Roman"/>
          <w:sz w:val="20"/>
          <w:szCs w:val="20"/>
          <w:lang w:val="en-US"/>
        </w:rPr>
        <w:t xml:space="preserve"> prices, higher consumption and</w:t>
      </w:r>
      <w:r w:rsidR="0066764C" w:rsidRPr="003E391B">
        <w:rPr>
          <w:rFonts w:ascii="Times New Roman" w:hAnsi="Times New Roman" w:cs="Times New Roman"/>
          <w:sz w:val="20"/>
          <w:szCs w:val="20"/>
          <w:lang w:val="en-US"/>
        </w:rPr>
        <w:t xml:space="preserve"> an increased</w:t>
      </w:r>
      <w:r w:rsidRPr="003E391B">
        <w:rPr>
          <w:rFonts w:ascii="Times New Roman" w:hAnsi="Times New Roman" w:cs="Times New Roman"/>
          <w:sz w:val="20"/>
          <w:szCs w:val="20"/>
          <w:lang w:val="en-US"/>
        </w:rPr>
        <w:t xml:space="preserve"> wellbeing. Market </w:t>
      </w:r>
      <w:r w:rsidR="00BD4097" w:rsidRPr="003E391B">
        <w:rPr>
          <w:rFonts w:ascii="Times New Roman" w:hAnsi="Times New Roman" w:cs="Times New Roman"/>
          <w:sz w:val="20"/>
          <w:szCs w:val="20"/>
          <w:lang w:val="en-US"/>
        </w:rPr>
        <w:t xml:space="preserve">shares </w:t>
      </w:r>
      <w:r w:rsidRPr="003E391B">
        <w:rPr>
          <w:rFonts w:ascii="Times New Roman" w:hAnsi="Times New Roman" w:cs="Times New Roman"/>
          <w:sz w:val="20"/>
          <w:szCs w:val="20"/>
          <w:lang w:val="en-US"/>
        </w:rPr>
        <w:t xml:space="preserve">have not </w:t>
      </w:r>
      <w:r w:rsidR="0066764C" w:rsidRPr="003E391B">
        <w:rPr>
          <w:rFonts w:ascii="Times New Roman" w:hAnsi="Times New Roman" w:cs="Times New Roman"/>
          <w:sz w:val="20"/>
          <w:szCs w:val="20"/>
          <w:lang w:val="en-US"/>
        </w:rPr>
        <w:t xml:space="preserve">fully </w:t>
      </w:r>
      <w:r w:rsidRPr="003E391B">
        <w:rPr>
          <w:rFonts w:ascii="Times New Roman" w:hAnsi="Times New Roman" w:cs="Times New Roman"/>
          <w:sz w:val="20"/>
          <w:szCs w:val="20"/>
          <w:lang w:val="en-US"/>
        </w:rPr>
        <w:t>respond</w:t>
      </w:r>
      <w:r w:rsidR="00BD4097" w:rsidRPr="003E391B">
        <w:rPr>
          <w:rFonts w:ascii="Times New Roman" w:hAnsi="Times New Roman" w:cs="Times New Roman"/>
          <w:sz w:val="20"/>
          <w:szCs w:val="20"/>
          <w:lang w:val="en-US"/>
        </w:rPr>
        <w:t>ed</w:t>
      </w:r>
      <w:r w:rsidRPr="003E391B">
        <w:rPr>
          <w:rFonts w:ascii="Times New Roman" w:hAnsi="Times New Roman" w:cs="Times New Roman"/>
          <w:sz w:val="20"/>
          <w:szCs w:val="20"/>
          <w:lang w:val="en-US"/>
        </w:rPr>
        <w:t xml:space="preserve"> to the app</w:t>
      </w:r>
      <w:r w:rsidR="00EB6CCF" w:rsidRPr="003E391B">
        <w:rPr>
          <w:rFonts w:ascii="Times New Roman" w:hAnsi="Times New Roman" w:cs="Times New Roman"/>
          <w:sz w:val="20"/>
          <w:szCs w:val="20"/>
          <w:lang w:val="en-US"/>
        </w:rPr>
        <w:t>lication of asymmetrical MTRs</w:t>
      </w:r>
      <w:r w:rsidR="0066764C" w:rsidRPr="003E391B">
        <w:rPr>
          <w:rFonts w:ascii="Times New Roman" w:hAnsi="Times New Roman" w:cs="Times New Roman"/>
          <w:sz w:val="20"/>
          <w:szCs w:val="20"/>
          <w:lang w:val="en-US"/>
        </w:rPr>
        <w:t xml:space="preserve">. Operators´ </w:t>
      </w:r>
      <w:proofErr w:type="spellStart"/>
      <w:r w:rsidR="00145F73" w:rsidRPr="003E391B">
        <w:rPr>
          <w:rFonts w:ascii="Times New Roman" w:hAnsi="Times New Roman" w:cs="Times New Roman"/>
          <w:sz w:val="20"/>
          <w:szCs w:val="20"/>
          <w:lang w:val="en-US"/>
        </w:rPr>
        <w:t>Ebdita</w:t>
      </w:r>
      <w:proofErr w:type="spellEnd"/>
      <w:r w:rsidR="00145F73" w:rsidRPr="003E391B">
        <w:rPr>
          <w:rFonts w:ascii="Times New Roman" w:hAnsi="Times New Roman" w:cs="Times New Roman"/>
          <w:sz w:val="20"/>
          <w:szCs w:val="20"/>
          <w:lang w:val="en-US"/>
        </w:rPr>
        <w:t xml:space="preserve"> Margin</w:t>
      </w:r>
      <w:r w:rsidRPr="003E391B">
        <w:rPr>
          <w:rFonts w:ascii="Times New Roman" w:hAnsi="Times New Roman" w:cs="Times New Roman"/>
          <w:sz w:val="20"/>
          <w:szCs w:val="20"/>
          <w:lang w:val="en-US"/>
        </w:rPr>
        <w:t xml:space="preserve"> </w:t>
      </w:r>
      <w:r w:rsidR="0066764C" w:rsidRPr="003E391B">
        <w:rPr>
          <w:rFonts w:ascii="Times New Roman" w:hAnsi="Times New Roman" w:cs="Times New Roman"/>
          <w:sz w:val="20"/>
          <w:szCs w:val="20"/>
          <w:lang w:val="en-US"/>
        </w:rPr>
        <w:t xml:space="preserve">are driven by the MTR, but </w:t>
      </w:r>
      <w:r w:rsidRPr="003E391B">
        <w:rPr>
          <w:rFonts w:ascii="Times New Roman" w:hAnsi="Times New Roman" w:cs="Times New Roman"/>
          <w:sz w:val="20"/>
          <w:szCs w:val="20"/>
          <w:lang w:val="en-US"/>
        </w:rPr>
        <w:t xml:space="preserve">show no </w:t>
      </w:r>
      <w:r w:rsidR="0066764C" w:rsidRPr="003E391B">
        <w:rPr>
          <w:rFonts w:ascii="Times New Roman" w:hAnsi="Times New Roman" w:cs="Times New Roman"/>
          <w:sz w:val="20"/>
          <w:szCs w:val="20"/>
          <w:lang w:val="en-US"/>
        </w:rPr>
        <w:t xml:space="preserve">significant </w:t>
      </w:r>
      <w:r w:rsidRPr="003E391B">
        <w:rPr>
          <w:rFonts w:ascii="Times New Roman" w:hAnsi="Times New Roman" w:cs="Times New Roman"/>
          <w:sz w:val="20"/>
          <w:szCs w:val="20"/>
          <w:lang w:val="en-US"/>
        </w:rPr>
        <w:t xml:space="preserve">sensitivity to the </w:t>
      </w:r>
      <w:r w:rsidR="0066764C" w:rsidRPr="003E391B">
        <w:rPr>
          <w:rFonts w:ascii="Times New Roman" w:hAnsi="Times New Roman" w:cs="Times New Roman"/>
          <w:sz w:val="20"/>
          <w:szCs w:val="20"/>
          <w:lang w:val="en-US"/>
        </w:rPr>
        <w:t xml:space="preserve">asymmetry. </w:t>
      </w:r>
      <w:r w:rsidRPr="003E391B">
        <w:rPr>
          <w:rFonts w:ascii="Times New Roman" w:hAnsi="Times New Roman" w:cs="Times New Roman"/>
          <w:sz w:val="20"/>
          <w:szCs w:val="20"/>
          <w:lang w:val="en-US"/>
        </w:rPr>
        <w:t xml:space="preserve">The results found </w:t>
      </w:r>
      <w:r w:rsidR="00C90E6C" w:rsidRPr="003E391B">
        <w:rPr>
          <w:rFonts w:ascii="Times New Roman" w:hAnsi="Times New Roman" w:cs="Times New Roman"/>
          <w:sz w:val="20"/>
          <w:szCs w:val="20"/>
          <w:lang w:val="en-US"/>
        </w:rPr>
        <w:t xml:space="preserve">for the Mexican case </w:t>
      </w:r>
      <w:r w:rsidRPr="003E391B">
        <w:rPr>
          <w:rFonts w:ascii="Times New Roman" w:hAnsi="Times New Roman" w:cs="Times New Roman"/>
          <w:sz w:val="20"/>
          <w:szCs w:val="20"/>
          <w:lang w:val="en-US"/>
        </w:rPr>
        <w:t xml:space="preserve">are consistent with </w:t>
      </w:r>
      <w:proofErr w:type="spellStart"/>
      <w:r w:rsidRPr="003E391B">
        <w:rPr>
          <w:rFonts w:ascii="Times New Roman" w:hAnsi="Times New Roman" w:cs="Times New Roman"/>
          <w:sz w:val="20"/>
          <w:szCs w:val="20"/>
          <w:lang w:val="en-US"/>
        </w:rPr>
        <w:t>Peitz</w:t>
      </w:r>
      <w:proofErr w:type="spellEnd"/>
      <w:r w:rsidRPr="003E391B">
        <w:rPr>
          <w:rFonts w:ascii="Times New Roman" w:hAnsi="Times New Roman" w:cs="Times New Roman"/>
          <w:sz w:val="20"/>
          <w:szCs w:val="20"/>
          <w:lang w:val="en-US"/>
        </w:rPr>
        <w:t xml:space="preserve"> model</w:t>
      </w:r>
      <w:r w:rsidR="00EB6CCF" w:rsidRPr="003E391B">
        <w:rPr>
          <w:rFonts w:ascii="Times New Roman" w:hAnsi="Times New Roman" w:cs="Times New Roman"/>
          <w:sz w:val="20"/>
          <w:szCs w:val="20"/>
          <w:lang w:val="en-US"/>
        </w:rPr>
        <w:t>.</w:t>
      </w:r>
      <w:r w:rsidRPr="003E391B">
        <w:rPr>
          <w:rFonts w:ascii="Times New Roman" w:hAnsi="Times New Roman" w:cs="Times New Roman"/>
          <w:sz w:val="20"/>
          <w:szCs w:val="20"/>
          <w:lang w:val="en-US"/>
        </w:rPr>
        <w:t xml:space="preserve"> </w:t>
      </w:r>
    </w:p>
    <w:p w:rsidR="00145F73" w:rsidRPr="00635A0D" w:rsidRDefault="00145F73" w:rsidP="00C36258">
      <w:pPr>
        <w:spacing w:after="0" w:line="240" w:lineRule="auto"/>
        <w:jc w:val="both"/>
        <w:rPr>
          <w:rFonts w:ascii="Times New Roman" w:hAnsi="Times New Roman" w:cs="Times New Roman"/>
          <w:b/>
          <w:color w:val="000000" w:themeColor="text1"/>
          <w:sz w:val="24"/>
          <w:szCs w:val="24"/>
          <w:lang w:val="en-US"/>
        </w:rPr>
      </w:pPr>
    </w:p>
    <w:p w:rsidR="005D226A" w:rsidRPr="00371E1C" w:rsidRDefault="005D226A" w:rsidP="00C36258">
      <w:pPr>
        <w:spacing w:after="0" w:line="240" w:lineRule="auto"/>
        <w:jc w:val="both"/>
        <w:rPr>
          <w:rFonts w:ascii="Times New Roman" w:hAnsi="Times New Roman" w:cs="Times New Roman"/>
          <w:color w:val="000000" w:themeColor="text1"/>
          <w:sz w:val="20"/>
          <w:szCs w:val="20"/>
        </w:rPr>
      </w:pPr>
      <w:proofErr w:type="spellStart"/>
      <w:r w:rsidRPr="00745273">
        <w:rPr>
          <w:rFonts w:ascii="Arial" w:hAnsi="Arial" w:cs="Arial"/>
          <w:b/>
          <w:color w:val="000000" w:themeColor="text1"/>
          <w:sz w:val="18"/>
          <w:szCs w:val="18"/>
        </w:rPr>
        <w:t>Keywords</w:t>
      </w:r>
      <w:proofErr w:type="spellEnd"/>
      <w:r w:rsidR="00466ACC" w:rsidRPr="00745273">
        <w:rPr>
          <w:rFonts w:ascii="Arial" w:hAnsi="Arial" w:cs="Arial"/>
          <w:b/>
          <w:color w:val="000000" w:themeColor="text1"/>
          <w:sz w:val="18"/>
          <w:szCs w:val="18"/>
        </w:rPr>
        <w:t>:</w:t>
      </w:r>
      <w:r w:rsidR="00466ACC" w:rsidRPr="00DF2957">
        <w:rPr>
          <w:rFonts w:ascii="Times New Roman" w:hAnsi="Times New Roman" w:cs="Times New Roman"/>
          <w:b/>
          <w:color w:val="000000" w:themeColor="text1"/>
        </w:rPr>
        <w:t xml:space="preserve"> </w:t>
      </w:r>
      <w:r w:rsidR="00DF2957" w:rsidRPr="00371E1C">
        <w:rPr>
          <w:rFonts w:ascii="Times New Roman" w:hAnsi="Times New Roman" w:cs="Times New Roman"/>
          <w:color w:val="000000" w:themeColor="text1"/>
          <w:sz w:val="20"/>
          <w:szCs w:val="20"/>
        </w:rPr>
        <w:t>Organización Industrial; Industrias Reguladas; Regulación Económica</w:t>
      </w:r>
      <w:r w:rsidR="00AD4395">
        <w:rPr>
          <w:rFonts w:ascii="Times New Roman" w:hAnsi="Times New Roman" w:cs="Times New Roman"/>
          <w:color w:val="000000" w:themeColor="text1"/>
          <w:sz w:val="20"/>
          <w:szCs w:val="20"/>
        </w:rPr>
        <w:t>; Telecomunicaciones; T</w:t>
      </w:r>
      <w:r w:rsidR="00DF2957" w:rsidRPr="00371E1C">
        <w:rPr>
          <w:rFonts w:ascii="Times New Roman" w:hAnsi="Times New Roman" w:cs="Times New Roman"/>
          <w:color w:val="000000" w:themeColor="text1"/>
          <w:sz w:val="20"/>
          <w:szCs w:val="20"/>
        </w:rPr>
        <w:t>elefonía</w:t>
      </w:r>
      <w:r w:rsidR="00371E1C">
        <w:rPr>
          <w:rFonts w:ascii="Times New Roman" w:hAnsi="Times New Roman" w:cs="Times New Roman"/>
          <w:color w:val="000000" w:themeColor="text1"/>
          <w:sz w:val="20"/>
          <w:szCs w:val="20"/>
        </w:rPr>
        <w:t>.</w:t>
      </w:r>
    </w:p>
    <w:p w:rsidR="00145F73" w:rsidRDefault="00145F73" w:rsidP="00145F73">
      <w:pPr>
        <w:pStyle w:val="Ttulo2"/>
        <w:spacing w:after="120" w:line="240" w:lineRule="auto"/>
        <w:rPr>
          <w:rFonts w:ascii="Times New Roman" w:hAnsi="Times New Roman" w:cs="Times New Roman"/>
          <w:b/>
          <w:color w:val="000000" w:themeColor="text1"/>
          <w:sz w:val="24"/>
          <w:szCs w:val="24"/>
        </w:rPr>
      </w:pPr>
    </w:p>
    <w:p w:rsidR="004A66A0" w:rsidRPr="00745273" w:rsidRDefault="004A66A0" w:rsidP="00145F73">
      <w:pPr>
        <w:pStyle w:val="Ttulo2"/>
        <w:spacing w:after="120" w:line="240" w:lineRule="auto"/>
        <w:rPr>
          <w:rFonts w:ascii="Arial" w:hAnsi="Arial" w:cs="Arial"/>
          <w:b/>
          <w:caps/>
          <w:color w:val="000000" w:themeColor="text1"/>
          <w:sz w:val="18"/>
          <w:szCs w:val="18"/>
        </w:rPr>
      </w:pPr>
      <w:r w:rsidRPr="00745273">
        <w:rPr>
          <w:rFonts w:ascii="Arial" w:hAnsi="Arial" w:cs="Arial"/>
          <w:b/>
          <w:caps/>
          <w:color w:val="000000" w:themeColor="text1"/>
          <w:sz w:val="18"/>
          <w:szCs w:val="18"/>
        </w:rPr>
        <w:t>Introducción</w:t>
      </w:r>
    </w:p>
    <w:p w:rsidR="00467F80" w:rsidRPr="003E391B" w:rsidRDefault="00F5723E" w:rsidP="00C36258">
      <w:pPr>
        <w:spacing w:after="0" w:line="240" w:lineRule="auto"/>
        <w:jc w:val="both"/>
        <w:rPr>
          <w:rFonts w:ascii="Times New Roman" w:hAnsi="Times New Roman" w:cs="Times New Roman"/>
          <w:sz w:val="20"/>
          <w:szCs w:val="20"/>
        </w:rPr>
      </w:pPr>
      <w:r w:rsidRPr="003E391B">
        <w:rPr>
          <w:rStyle w:val="hps"/>
          <w:rFonts w:ascii="Times New Roman" w:hAnsi="Times New Roman" w:cs="Times New Roman"/>
          <w:color w:val="222222"/>
          <w:sz w:val="20"/>
          <w:szCs w:val="20"/>
          <w:lang w:val="es-ES"/>
        </w:rPr>
        <w:t>L</w:t>
      </w:r>
      <w:r w:rsidR="005D0B69" w:rsidRPr="003E391B">
        <w:rPr>
          <w:rStyle w:val="hps"/>
          <w:rFonts w:ascii="Times New Roman" w:hAnsi="Times New Roman" w:cs="Times New Roman"/>
          <w:color w:val="222222"/>
          <w:sz w:val="20"/>
          <w:szCs w:val="20"/>
          <w:lang w:val="es-ES"/>
        </w:rPr>
        <w:t xml:space="preserve">os ingresos de los operadores </w:t>
      </w:r>
      <w:r w:rsidRPr="003E391B">
        <w:rPr>
          <w:rFonts w:ascii="Times New Roman" w:hAnsi="Times New Roman" w:cs="Times New Roman"/>
          <w:color w:val="222222"/>
          <w:sz w:val="20"/>
          <w:szCs w:val="20"/>
          <w:lang w:val="es-ES"/>
        </w:rPr>
        <w:t xml:space="preserve"> </w:t>
      </w:r>
      <w:r w:rsidR="005D226A" w:rsidRPr="003E391B">
        <w:rPr>
          <w:rFonts w:ascii="Times New Roman" w:hAnsi="Times New Roman" w:cs="Times New Roman"/>
          <w:color w:val="222222"/>
          <w:sz w:val="20"/>
          <w:szCs w:val="20"/>
          <w:lang w:val="es-ES"/>
        </w:rPr>
        <w:t>de telecomunicación</w:t>
      </w:r>
      <w:r w:rsidR="00FB07EB" w:rsidRPr="003E391B">
        <w:rPr>
          <w:rFonts w:ascii="Times New Roman" w:hAnsi="Times New Roman" w:cs="Times New Roman"/>
          <w:color w:val="222222"/>
          <w:sz w:val="20"/>
          <w:szCs w:val="20"/>
          <w:lang w:val="es-ES"/>
        </w:rPr>
        <w:t xml:space="preserve"> móvil</w:t>
      </w:r>
      <w:r w:rsidRPr="003E391B">
        <w:rPr>
          <w:rFonts w:ascii="Times New Roman" w:hAnsi="Times New Roman" w:cs="Times New Roman"/>
          <w:color w:val="222222"/>
          <w:sz w:val="20"/>
          <w:szCs w:val="20"/>
          <w:lang w:val="es-ES"/>
        </w:rPr>
        <w:t xml:space="preserve"> provienen básicamente de dos </w:t>
      </w:r>
      <w:r w:rsidRPr="003E391B">
        <w:rPr>
          <w:rStyle w:val="hps"/>
          <w:rFonts w:ascii="Times New Roman" w:hAnsi="Times New Roman" w:cs="Times New Roman"/>
          <w:color w:val="222222"/>
          <w:sz w:val="20"/>
          <w:szCs w:val="20"/>
          <w:lang w:val="es-ES"/>
        </w:rPr>
        <w:t>fuentes</w:t>
      </w:r>
      <w:r w:rsidR="005D0B69" w:rsidRPr="003E391B">
        <w:rPr>
          <w:rFonts w:ascii="Times New Roman" w:hAnsi="Times New Roman" w:cs="Times New Roman"/>
          <w:color w:val="222222"/>
          <w:sz w:val="20"/>
          <w:szCs w:val="20"/>
          <w:lang w:val="es-ES"/>
        </w:rPr>
        <w:t xml:space="preserve">: </w:t>
      </w:r>
      <w:r w:rsidRPr="003E391B">
        <w:rPr>
          <w:rFonts w:ascii="Times New Roman" w:hAnsi="Times New Roman" w:cs="Times New Roman"/>
          <w:color w:val="222222"/>
          <w:sz w:val="20"/>
          <w:szCs w:val="20"/>
          <w:lang w:val="es-ES"/>
        </w:rPr>
        <w:t xml:space="preserve">la venta de </w:t>
      </w:r>
      <w:r w:rsidRPr="003E391B">
        <w:rPr>
          <w:rStyle w:val="hps"/>
          <w:rFonts w:ascii="Times New Roman" w:hAnsi="Times New Roman" w:cs="Times New Roman"/>
          <w:color w:val="222222"/>
          <w:sz w:val="20"/>
          <w:szCs w:val="20"/>
          <w:lang w:val="es-ES"/>
        </w:rPr>
        <w:t>servicios a</w:t>
      </w:r>
      <w:r w:rsidRPr="003E391B">
        <w:rPr>
          <w:rFonts w:ascii="Times New Roman" w:hAnsi="Times New Roman" w:cs="Times New Roman"/>
          <w:color w:val="222222"/>
          <w:sz w:val="20"/>
          <w:szCs w:val="20"/>
          <w:lang w:val="es-ES"/>
        </w:rPr>
        <w:t xml:space="preserve"> </w:t>
      </w:r>
      <w:r w:rsidR="005D0B69" w:rsidRPr="003E391B">
        <w:rPr>
          <w:rStyle w:val="hps"/>
          <w:rFonts w:ascii="Times New Roman" w:hAnsi="Times New Roman" w:cs="Times New Roman"/>
          <w:color w:val="222222"/>
          <w:sz w:val="20"/>
          <w:szCs w:val="20"/>
          <w:lang w:val="es-ES"/>
        </w:rPr>
        <w:t>los consumidores</w:t>
      </w:r>
      <w:r w:rsidRPr="003E391B">
        <w:rPr>
          <w:rFonts w:ascii="Times New Roman" w:hAnsi="Times New Roman" w:cs="Times New Roman"/>
          <w:color w:val="222222"/>
          <w:sz w:val="20"/>
          <w:szCs w:val="20"/>
          <w:lang w:val="es-ES"/>
        </w:rPr>
        <w:t xml:space="preserve"> </w:t>
      </w:r>
      <w:r w:rsidRPr="003E391B">
        <w:rPr>
          <w:rStyle w:val="hps"/>
          <w:rFonts w:ascii="Times New Roman" w:hAnsi="Times New Roman" w:cs="Times New Roman"/>
          <w:color w:val="222222"/>
          <w:sz w:val="20"/>
          <w:szCs w:val="20"/>
          <w:lang w:val="es-ES"/>
        </w:rPr>
        <w:t>(mercado</w:t>
      </w:r>
      <w:r w:rsidRPr="003E391B">
        <w:rPr>
          <w:rFonts w:ascii="Times New Roman" w:hAnsi="Times New Roman" w:cs="Times New Roman"/>
          <w:color w:val="222222"/>
          <w:sz w:val="20"/>
          <w:szCs w:val="20"/>
          <w:lang w:val="es-ES"/>
        </w:rPr>
        <w:t xml:space="preserve"> </w:t>
      </w:r>
      <w:r w:rsidRPr="003E391B">
        <w:rPr>
          <w:rStyle w:val="hps"/>
          <w:rFonts w:ascii="Times New Roman" w:hAnsi="Times New Roman" w:cs="Times New Roman"/>
          <w:color w:val="222222"/>
          <w:sz w:val="20"/>
          <w:szCs w:val="20"/>
          <w:lang w:val="es-ES"/>
        </w:rPr>
        <w:t>minorista</w:t>
      </w:r>
      <w:r w:rsidR="005D0B69" w:rsidRPr="003E391B">
        <w:rPr>
          <w:rFonts w:ascii="Times New Roman" w:hAnsi="Times New Roman" w:cs="Times New Roman"/>
          <w:color w:val="222222"/>
          <w:sz w:val="20"/>
          <w:szCs w:val="20"/>
          <w:lang w:val="es-ES"/>
        </w:rPr>
        <w:t>) y</w:t>
      </w:r>
      <w:r w:rsidRPr="003E391B">
        <w:rPr>
          <w:rFonts w:ascii="Times New Roman" w:hAnsi="Times New Roman" w:cs="Times New Roman"/>
          <w:color w:val="222222"/>
          <w:sz w:val="20"/>
          <w:szCs w:val="20"/>
          <w:lang w:val="es-ES"/>
        </w:rPr>
        <w:t xml:space="preserve"> la venta de</w:t>
      </w:r>
      <w:r w:rsidRPr="003E391B">
        <w:rPr>
          <w:rStyle w:val="hps"/>
          <w:rFonts w:ascii="Times New Roman" w:hAnsi="Times New Roman" w:cs="Times New Roman"/>
          <w:color w:val="222222"/>
          <w:sz w:val="20"/>
          <w:szCs w:val="20"/>
          <w:lang w:val="es-ES"/>
        </w:rPr>
        <w:t xml:space="preserve"> </w:t>
      </w:r>
      <w:r w:rsidR="005D0B69" w:rsidRPr="003E391B">
        <w:rPr>
          <w:rStyle w:val="hps"/>
          <w:rFonts w:ascii="Times New Roman" w:hAnsi="Times New Roman" w:cs="Times New Roman"/>
          <w:color w:val="222222"/>
          <w:sz w:val="20"/>
          <w:szCs w:val="20"/>
          <w:lang w:val="es-ES"/>
        </w:rPr>
        <w:t xml:space="preserve">acceso a su red </w:t>
      </w:r>
      <w:r w:rsidRPr="003E391B">
        <w:rPr>
          <w:rStyle w:val="hps"/>
          <w:rFonts w:ascii="Times New Roman" w:hAnsi="Times New Roman" w:cs="Times New Roman"/>
          <w:color w:val="222222"/>
          <w:sz w:val="20"/>
          <w:szCs w:val="20"/>
          <w:lang w:val="es-ES"/>
        </w:rPr>
        <w:t>a otros operadores</w:t>
      </w:r>
      <w:r w:rsidRPr="003E391B">
        <w:rPr>
          <w:rFonts w:ascii="Times New Roman" w:hAnsi="Times New Roman" w:cs="Times New Roman"/>
          <w:color w:val="222222"/>
          <w:sz w:val="20"/>
          <w:szCs w:val="20"/>
          <w:lang w:val="es-ES"/>
        </w:rPr>
        <w:t xml:space="preserve"> </w:t>
      </w:r>
      <w:r w:rsidRPr="003E391B">
        <w:rPr>
          <w:rStyle w:val="hps"/>
          <w:rFonts w:ascii="Times New Roman" w:hAnsi="Times New Roman" w:cs="Times New Roman"/>
          <w:color w:val="222222"/>
          <w:sz w:val="20"/>
          <w:szCs w:val="20"/>
          <w:lang w:val="es-ES"/>
        </w:rPr>
        <w:t>que compiten en</w:t>
      </w:r>
      <w:r w:rsidRPr="003E391B">
        <w:rPr>
          <w:rFonts w:ascii="Times New Roman" w:hAnsi="Times New Roman" w:cs="Times New Roman"/>
          <w:color w:val="222222"/>
          <w:sz w:val="20"/>
          <w:szCs w:val="20"/>
          <w:lang w:val="es-ES"/>
        </w:rPr>
        <w:t xml:space="preserve"> </w:t>
      </w:r>
      <w:r w:rsidRPr="003E391B">
        <w:rPr>
          <w:rStyle w:val="hps"/>
          <w:rFonts w:ascii="Times New Roman" w:hAnsi="Times New Roman" w:cs="Times New Roman"/>
          <w:color w:val="222222"/>
          <w:sz w:val="20"/>
          <w:szCs w:val="20"/>
          <w:lang w:val="es-ES"/>
        </w:rPr>
        <w:t>el mercado</w:t>
      </w:r>
      <w:r w:rsidRPr="003E391B">
        <w:rPr>
          <w:rFonts w:ascii="Times New Roman" w:hAnsi="Times New Roman" w:cs="Times New Roman"/>
          <w:color w:val="222222"/>
          <w:sz w:val="20"/>
          <w:szCs w:val="20"/>
          <w:lang w:val="es-ES"/>
        </w:rPr>
        <w:t xml:space="preserve"> </w:t>
      </w:r>
      <w:r w:rsidR="00AD4395">
        <w:rPr>
          <w:rFonts w:ascii="Times New Roman" w:hAnsi="Times New Roman" w:cs="Times New Roman"/>
          <w:color w:val="222222"/>
          <w:sz w:val="20"/>
          <w:szCs w:val="20"/>
          <w:lang w:val="es-ES"/>
        </w:rPr>
        <w:t xml:space="preserve">minorista </w:t>
      </w:r>
      <w:r w:rsidRPr="003E391B">
        <w:rPr>
          <w:rFonts w:ascii="Times New Roman" w:hAnsi="Times New Roman" w:cs="Times New Roman"/>
          <w:color w:val="222222"/>
          <w:sz w:val="20"/>
          <w:szCs w:val="20"/>
          <w:lang w:val="es-ES"/>
        </w:rPr>
        <w:t>y que necesitan terminar llamadas en los d</w:t>
      </w:r>
      <w:r w:rsidR="00AD4395">
        <w:rPr>
          <w:rFonts w:ascii="Times New Roman" w:hAnsi="Times New Roman" w:cs="Times New Roman"/>
          <w:color w:val="222222"/>
          <w:sz w:val="20"/>
          <w:szCs w:val="20"/>
          <w:lang w:val="es-ES"/>
        </w:rPr>
        <w:t>ispositivos de clientes de</w:t>
      </w:r>
      <w:r w:rsidR="005D0B69" w:rsidRPr="003E391B">
        <w:rPr>
          <w:rFonts w:ascii="Times New Roman" w:hAnsi="Times New Roman" w:cs="Times New Roman"/>
          <w:color w:val="222222"/>
          <w:sz w:val="20"/>
          <w:szCs w:val="20"/>
          <w:lang w:val="es-ES"/>
        </w:rPr>
        <w:t xml:space="preserve"> otra</w:t>
      </w:r>
      <w:r w:rsidR="00AD4395">
        <w:rPr>
          <w:rFonts w:ascii="Times New Roman" w:hAnsi="Times New Roman" w:cs="Times New Roman"/>
          <w:color w:val="222222"/>
          <w:sz w:val="20"/>
          <w:szCs w:val="20"/>
          <w:lang w:val="es-ES"/>
        </w:rPr>
        <w:t>s</w:t>
      </w:r>
      <w:r w:rsidR="005D0B69" w:rsidRPr="003E391B">
        <w:rPr>
          <w:rFonts w:ascii="Times New Roman" w:hAnsi="Times New Roman" w:cs="Times New Roman"/>
          <w:color w:val="222222"/>
          <w:sz w:val="20"/>
          <w:szCs w:val="20"/>
          <w:lang w:val="es-ES"/>
        </w:rPr>
        <w:t xml:space="preserve"> red</w:t>
      </w:r>
      <w:r w:rsidR="00AD4395">
        <w:rPr>
          <w:rFonts w:ascii="Times New Roman" w:hAnsi="Times New Roman" w:cs="Times New Roman"/>
          <w:color w:val="222222"/>
          <w:sz w:val="20"/>
          <w:szCs w:val="20"/>
          <w:lang w:val="es-ES"/>
        </w:rPr>
        <w:t>es</w:t>
      </w:r>
      <w:r w:rsidRPr="003E391B">
        <w:rPr>
          <w:rFonts w:ascii="Times New Roman" w:hAnsi="Times New Roman" w:cs="Times New Roman"/>
          <w:color w:val="222222"/>
          <w:sz w:val="20"/>
          <w:szCs w:val="20"/>
          <w:lang w:val="es-ES"/>
        </w:rPr>
        <w:t xml:space="preserve"> </w:t>
      </w:r>
      <w:r w:rsidRPr="003E391B">
        <w:rPr>
          <w:rStyle w:val="hps"/>
          <w:rFonts w:ascii="Times New Roman" w:hAnsi="Times New Roman" w:cs="Times New Roman"/>
          <w:color w:val="222222"/>
          <w:sz w:val="20"/>
          <w:szCs w:val="20"/>
          <w:lang w:val="es-ES"/>
        </w:rPr>
        <w:t>(</w:t>
      </w:r>
      <w:r w:rsidRPr="003E391B">
        <w:rPr>
          <w:rFonts w:ascii="Times New Roman" w:hAnsi="Times New Roman" w:cs="Times New Roman"/>
          <w:color w:val="222222"/>
          <w:sz w:val="20"/>
          <w:szCs w:val="20"/>
          <w:lang w:val="es-ES"/>
        </w:rPr>
        <w:t xml:space="preserve">mercado mayorista). </w:t>
      </w:r>
      <w:r w:rsidRPr="003E391B">
        <w:rPr>
          <w:rStyle w:val="hps"/>
          <w:rFonts w:ascii="Times New Roman" w:hAnsi="Times New Roman" w:cs="Times New Roman"/>
          <w:color w:val="222222"/>
          <w:sz w:val="20"/>
          <w:szCs w:val="20"/>
          <w:lang w:val="es-ES"/>
        </w:rPr>
        <w:t>La interconexión de</w:t>
      </w:r>
      <w:r w:rsidRPr="003E391B">
        <w:rPr>
          <w:rFonts w:ascii="Times New Roman" w:hAnsi="Times New Roman" w:cs="Times New Roman"/>
          <w:color w:val="222222"/>
          <w:sz w:val="20"/>
          <w:szCs w:val="20"/>
          <w:lang w:val="es-ES"/>
        </w:rPr>
        <w:t xml:space="preserve"> </w:t>
      </w:r>
      <w:r w:rsidRPr="003E391B">
        <w:rPr>
          <w:rStyle w:val="hps"/>
          <w:rFonts w:ascii="Times New Roman" w:hAnsi="Times New Roman" w:cs="Times New Roman"/>
          <w:color w:val="222222"/>
          <w:sz w:val="20"/>
          <w:szCs w:val="20"/>
          <w:lang w:val="es-ES"/>
        </w:rPr>
        <w:t>las</w:t>
      </w:r>
      <w:r w:rsidRPr="003E391B">
        <w:rPr>
          <w:rFonts w:ascii="Times New Roman" w:hAnsi="Times New Roman" w:cs="Times New Roman"/>
          <w:color w:val="222222"/>
          <w:sz w:val="20"/>
          <w:szCs w:val="20"/>
          <w:lang w:val="es-ES"/>
        </w:rPr>
        <w:t xml:space="preserve"> </w:t>
      </w:r>
      <w:r w:rsidRPr="003E391B">
        <w:rPr>
          <w:rStyle w:val="hps"/>
          <w:rFonts w:ascii="Times New Roman" w:hAnsi="Times New Roman" w:cs="Times New Roman"/>
          <w:color w:val="222222"/>
          <w:sz w:val="20"/>
          <w:szCs w:val="20"/>
          <w:lang w:val="es-ES"/>
        </w:rPr>
        <w:t>diferentes redes y</w:t>
      </w:r>
      <w:r w:rsidRPr="003E391B">
        <w:rPr>
          <w:rFonts w:ascii="Times New Roman" w:hAnsi="Times New Roman" w:cs="Times New Roman"/>
          <w:color w:val="222222"/>
          <w:sz w:val="20"/>
          <w:szCs w:val="20"/>
          <w:lang w:val="es-ES"/>
        </w:rPr>
        <w:t xml:space="preserve"> </w:t>
      </w:r>
      <w:r w:rsidRPr="003E391B">
        <w:rPr>
          <w:rStyle w:val="hps"/>
          <w:rFonts w:ascii="Times New Roman" w:hAnsi="Times New Roman" w:cs="Times New Roman"/>
          <w:color w:val="222222"/>
          <w:sz w:val="20"/>
          <w:szCs w:val="20"/>
          <w:lang w:val="es-ES"/>
        </w:rPr>
        <w:t>la entrada</w:t>
      </w:r>
      <w:r w:rsidRPr="003E391B">
        <w:rPr>
          <w:rFonts w:ascii="Times New Roman" w:hAnsi="Times New Roman" w:cs="Times New Roman"/>
          <w:color w:val="222222"/>
          <w:sz w:val="20"/>
          <w:szCs w:val="20"/>
          <w:lang w:val="es-ES"/>
        </w:rPr>
        <w:t xml:space="preserve"> </w:t>
      </w:r>
      <w:r w:rsidRPr="003E391B">
        <w:rPr>
          <w:rStyle w:val="hps"/>
          <w:rFonts w:ascii="Times New Roman" w:hAnsi="Times New Roman" w:cs="Times New Roman"/>
          <w:color w:val="222222"/>
          <w:sz w:val="20"/>
          <w:szCs w:val="20"/>
          <w:lang w:val="es-ES"/>
        </w:rPr>
        <w:t>al</w:t>
      </w:r>
      <w:r w:rsidRPr="003E391B">
        <w:rPr>
          <w:rFonts w:ascii="Times New Roman" w:hAnsi="Times New Roman" w:cs="Times New Roman"/>
          <w:color w:val="222222"/>
          <w:sz w:val="20"/>
          <w:szCs w:val="20"/>
          <w:lang w:val="es-ES"/>
        </w:rPr>
        <w:t xml:space="preserve"> </w:t>
      </w:r>
      <w:r w:rsidRPr="003E391B">
        <w:rPr>
          <w:rStyle w:val="hps"/>
          <w:rFonts w:ascii="Times New Roman" w:hAnsi="Times New Roman" w:cs="Times New Roman"/>
          <w:color w:val="222222"/>
          <w:sz w:val="20"/>
          <w:szCs w:val="20"/>
          <w:lang w:val="es-ES"/>
        </w:rPr>
        <w:t>mercado de nuevos</w:t>
      </w:r>
      <w:r w:rsidRPr="003E391B">
        <w:rPr>
          <w:rFonts w:ascii="Times New Roman" w:hAnsi="Times New Roman" w:cs="Times New Roman"/>
          <w:color w:val="222222"/>
          <w:sz w:val="20"/>
          <w:szCs w:val="20"/>
          <w:lang w:val="es-ES"/>
        </w:rPr>
        <w:t xml:space="preserve"> </w:t>
      </w:r>
      <w:r w:rsidRPr="003E391B">
        <w:rPr>
          <w:rStyle w:val="hps"/>
          <w:rFonts w:ascii="Times New Roman" w:hAnsi="Times New Roman" w:cs="Times New Roman"/>
          <w:color w:val="222222"/>
          <w:sz w:val="20"/>
          <w:szCs w:val="20"/>
          <w:lang w:val="es-ES"/>
        </w:rPr>
        <w:t>proveedores</w:t>
      </w:r>
      <w:r w:rsidRPr="003E391B">
        <w:rPr>
          <w:rFonts w:ascii="Times New Roman" w:hAnsi="Times New Roman" w:cs="Times New Roman"/>
          <w:color w:val="222222"/>
          <w:sz w:val="20"/>
          <w:szCs w:val="20"/>
          <w:lang w:val="es-ES"/>
        </w:rPr>
        <w:t xml:space="preserve"> </w:t>
      </w:r>
      <w:r w:rsidRPr="003E391B">
        <w:rPr>
          <w:rStyle w:val="hps"/>
          <w:rFonts w:ascii="Times New Roman" w:hAnsi="Times New Roman" w:cs="Times New Roman"/>
          <w:color w:val="222222"/>
          <w:sz w:val="20"/>
          <w:szCs w:val="20"/>
          <w:lang w:val="es-ES"/>
        </w:rPr>
        <w:t xml:space="preserve">es deseable </w:t>
      </w:r>
      <w:r w:rsidR="00AD4395">
        <w:rPr>
          <w:rStyle w:val="hps"/>
          <w:rFonts w:ascii="Times New Roman" w:hAnsi="Times New Roman" w:cs="Times New Roman"/>
          <w:color w:val="222222"/>
          <w:sz w:val="20"/>
          <w:szCs w:val="20"/>
          <w:lang w:val="es-ES"/>
        </w:rPr>
        <w:t xml:space="preserve">socialmente y </w:t>
      </w:r>
      <w:r w:rsidRPr="003E391B">
        <w:rPr>
          <w:rStyle w:val="hps"/>
          <w:rFonts w:ascii="Times New Roman" w:hAnsi="Times New Roman" w:cs="Times New Roman"/>
          <w:color w:val="222222"/>
          <w:sz w:val="20"/>
          <w:szCs w:val="20"/>
          <w:lang w:val="es-ES"/>
        </w:rPr>
        <w:t>desde</w:t>
      </w:r>
      <w:r w:rsidRPr="003E391B">
        <w:rPr>
          <w:rFonts w:ascii="Times New Roman" w:hAnsi="Times New Roman" w:cs="Times New Roman"/>
          <w:color w:val="222222"/>
          <w:sz w:val="20"/>
          <w:szCs w:val="20"/>
          <w:lang w:val="es-ES"/>
        </w:rPr>
        <w:t xml:space="preserve"> </w:t>
      </w:r>
      <w:r w:rsidR="00510614" w:rsidRPr="003E391B">
        <w:rPr>
          <w:rFonts w:ascii="Times New Roman" w:hAnsi="Times New Roman" w:cs="Times New Roman"/>
          <w:color w:val="222222"/>
          <w:sz w:val="20"/>
          <w:szCs w:val="20"/>
          <w:lang w:val="es-ES"/>
        </w:rPr>
        <w:t xml:space="preserve">la perspectiva </w:t>
      </w:r>
      <w:r w:rsidRPr="003E391B">
        <w:rPr>
          <w:rFonts w:ascii="Times New Roman" w:hAnsi="Times New Roman" w:cs="Times New Roman"/>
          <w:color w:val="222222"/>
          <w:sz w:val="20"/>
          <w:szCs w:val="20"/>
          <w:lang w:val="es-ES"/>
        </w:rPr>
        <w:t>de la competencia</w:t>
      </w:r>
      <w:r w:rsidR="00510614" w:rsidRPr="003E391B">
        <w:rPr>
          <w:rFonts w:ascii="Times New Roman" w:hAnsi="Times New Roman" w:cs="Times New Roman"/>
          <w:color w:val="222222"/>
          <w:sz w:val="20"/>
          <w:szCs w:val="20"/>
          <w:lang w:val="es-ES"/>
        </w:rPr>
        <w:t xml:space="preserve">. Por ello </w:t>
      </w:r>
      <w:r w:rsidRPr="003E391B">
        <w:rPr>
          <w:rStyle w:val="hps"/>
          <w:rFonts w:ascii="Times New Roman" w:hAnsi="Times New Roman" w:cs="Times New Roman"/>
          <w:color w:val="222222"/>
          <w:sz w:val="20"/>
          <w:szCs w:val="20"/>
          <w:lang w:val="es-ES"/>
        </w:rPr>
        <w:t>la</w:t>
      </w:r>
      <w:r w:rsidRPr="003E391B">
        <w:rPr>
          <w:rFonts w:ascii="Times New Roman" w:hAnsi="Times New Roman" w:cs="Times New Roman"/>
          <w:color w:val="222222"/>
          <w:sz w:val="20"/>
          <w:szCs w:val="20"/>
          <w:lang w:val="es-ES"/>
        </w:rPr>
        <w:t xml:space="preserve"> </w:t>
      </w:r>
      <w:r w:rsidRPr="003E391B">
        <w:rPr>
          <w:rStyle w:val="hps"/>
          <w:rFonts w:ascii="Times New Roman" w:hAnsi="Times New Roman" w:cs="Times New Roman"/>
          <w:color w:val="222222"/>
          <w:sz w:val="20"/>
          <w:szCs w:val="20"/>
          <w:lang w:val="es-ES"/>
        </w:rPr>
        <w:t>interconexión</w:t>
      </w:r>
      <w:r w:rsidRPr="003E391B">
        <w:rPr>
          <w:rFonts w:ascii="Times New Roman" w:hAnsi="Times New Roman" w:cs="Times New Roman"/>
          <w:color w:val="222222"/>
          <w:sz w:val="20"/>
          <w:szCs w:val="20"/>
          <w:lang w:val="es-ES"/>
        </w:rPr>
        <w:t xml:space="preserve"> </w:t>
      </w:r>
      <w:r w:rsidRPr="003E391B">
        <w:rPr>
          <w:rStyle w:val="hps"/>
          <w:rFonts w:ascii="Times New Roman" w:hAnsi="Times New Roman" w:cs="Times New Roman"/>
          <w:color w:val="222222"/>
          <w:sz w:val="20"/>
          <w:szCs w:val="20"/>
          <w:lang w:val="es-ES"/>
        </w:rPr>
        <w:t>se</w:t>
      </w:r>
      <w:r w:rsidRPr="003E391B">
        <w:rPr>
          <w:rFonts w:ascii="Times New Roman" w:hAnsi="Times New Roman" w:cs="Times New Roman"/>
          <w:color w:val="222222"/>
          <w:sz w:val="20"/>
          <w:szCs w:val="20"/>
          <w:lang w:val="es-ES"/>
        </w:rPr>
        <w:t xml:space="preserve"> </w:t>
      </w:r>
      <w:r w:rsidRPr="003E391B">
        <w:rPr>
          <w:rStyle w:val="hps"/>
          <w:rFonts w:ascii="Times New Roman" w:hAnsi="Times New Roman" w:cs="Times New Roman"/>
          <w:color w:val="222222"/>
          <w:sz w:val="20"/>
          <w:szCs w:val="20"/>
          <w:lang w:val="es-ES"/>
        </w:rPr>
        <w:t>regula</w:t>
      </w:r>
      <w:r w:rsidRPr="003E391B">
        <w:rPr>
          <w:rFonts w:ascii="Times New Roman" w:hAnsi="Times New Roman" w:cs="Times New Roman"/>
          <w:color w:val="222222"/>
          <w:sz w:val="20"/>
          <w:szCs w:val="20"/>
          <w:lang w:val="es-ES"/>
        </w:rPr>
        <w:t xml:space="preserve"> </w:t>
      </w:r>
      <w:r w:rsidR="00467F80" w:rsidRPr="003E391B">
        <w:rPr>
          <w:rFonts w:ascii="Times New Roman" w:hAnsi="Times New Roman" w:cs="Times New Roman"/>
          <w:color w:val="222222"/>
          <w:sz w:val="20"/>
          <w:szCs w:val="20"/>
          <w:lang w:val="es-ES"/>
        </w:rPr>
        <w:t>tanto e</w:t>
      </w:r>
      <w:r w:rsidR="00AD4395">
        <w:rPr>
          <w:rFonts w:ascii="Times New Roman" w:hAnsi="Times New Roman" w:cs="Times New Roman"/>
          <w:color w:val="222222"/>
          <w:sz w:val="20"/>
          <w:szCs w:val="20"/>
          <w:lang w:val="es-ES"/>
        </w:rPr>
        <w:t>n el precio que se cobra por el</w:t>
      </w:r>
      <w:r w:rsidR="00467F80" w:rsidRPr="003E391B">
        <w:rPr>
          <w:rFonts w:ascii="Times New Roman" w:hAnsi="Times New Roman" w:cs="Times New Roman"/>
          <w:color w:val="222222"/>
          <w:sz w:val="20"/>
          <w:szCs w:val="20"/>
          <w:lang w:val="es-ES"/>
        </w:rPr>
        <w:t xml:space="preserve"> servicio, como en lo que se refiere a los términos de calidad, oportunidad y condiciones, </w:t>
      </w:r>
      <w:r w:rsidRPr="003E391B">
        <w:rPr>
          <w:rStyle w:val="hps"/>
          <w:rFonts w:ascii="Times New Roman" w:hAnsi="Times New Roman" w:cs="Times New Roman"/>
          <w:color w:val="222222"/>
          <w:sz w:val="20"/>
          <w:szCs w:val="20"/>
          <w:lang w:val="es-ES"/>
        </w:rPr>
        <w:t xml:space="preserve">de forma que </w:t>
      </w:r>
      <w:r w:rsidR="00467F80" w:rsidRPr="003E391B">
        <w:rPr>
          <w:rStyle w:val="hps"/>
          <w:rFonts w:ascii="Times New Roman" w:hAnsi="Times New Roman" w:cs="Times New Roman"/>
          <w:color w:val="222222"/>
          <w:sz w:val="20"/>
          <w:szCs w:val="20"/>
          <w:lang w:val="es-ES"/>
        </w:rPr>
        <w:t xml:space="preserve">se </w:t>
      </w:r>
      <w:r w:rsidRPr="003E391B">
        <w:rPr>
          <w:rStyle w:val="hps"/>
          <w:rFonts w:ascii="Times New Roman" w:hAnsi="Times New Roman" w:cs="Times New Roman"/>
          <w:color w:val="222222"/>
          <w:sz w:val="20"/>
          <w:szCs w:val="20"/>
          <w:lang w:val="es-ES"/>
        </w:rPr>
        <w:t>favorezca</w:t>
      </w:r>
      <w:r w:rsidRPr="003E391B">
        <w:rPr>
          <w:rFonts w:ascii="Times New Roman" w:hAnsi="Times New Roman" w:cs="Times New Roman"/>
          <w:color w:val="222222"/>
          <w:sz w:val="20"/>
          <w:szCs w:val="20"/>
          <w:lang w:val="es-ES"/>
        </w:rPr>
        <w:t xml:space="preserve"> el </w:t>
      </w:r>
      <w:r w:rsidRPr="003E391B">
        <w:rPr>
          <w:rStyle w:val="hps"/>
          <w:rFonts w:ascii="Times New Roman" w:hAnsi="Times New Roman" w:cs="Times New Roman"/>
          <w:color w:val="222222"/>
          <w:sz w:val="20"/>
          <w:szCs w:val="20"/>
          <w:lang w:val="es-ES"/>
        </w:rPr>
        <w:t>acceso en términos equitativos</w:t>
      </w:r>
      <w:r w:rsidRPr="003E391B">
        <w:rPr>
          <w:rFonts w:ascii="Times New Roman" w:hAnsi="Times New Roman" w:cs="Times New Roman"/>
          <w:color w:val="222222"/>
          <w:sz w:val="20"/>
          <w:szCs w:val="20"/>
          <w:lang w:val="es-ES"/>
        </w:rPr>
        <w:t xml:space="preserve">. </w:t>
      </w:r>
      <w:r w:rsidR="00467F80" w:rsidRPr="003E391B">
        <w:rPr>
          <w:rFonts w:ascii="Times New Roman" w:hAnsi="Times New Roman" w:cs="Times New Roman"/>
          <w:color w:val="222222"/>
          <w:sz w:val="20"/>
          <w:szCs w:val="20"/>
          <w:lang w:val="es-ES"/>
        </w:rPr>
        <w:t xml:space="preserve">El precio máximo que los operadores </w:t>
      </w:r>
      <w:r w:rsidR="00AD4395">
        <w:rPr>
          <w:rFonts w:ascii="Times New Roman" w:hAnsi="Times New Roman" w:cs="Times New Roman"/>
          <w:color w:val="222222"/>
          <w:sz w:val="20"/>
          <w:szCs w:val="20"/>
          <w:lang w:val="es-ES"/>
        </w:rPr>
        <w:t>cobran a otros operadores</w:t>
      </w:r>
      <w:r w:rsidR="00F11AE9" w:rsidRPr="003E391B">
        <w:rPr>
          <w:rFonts w:ascii="Times New Roman" w:hAnsi="Times New Roman" w:cs="Times New Roman"/>
          <w:color w:val="222222"/>
          <w:sz w:val="20"/>
          <w:szCs w:val="20"/>
          <w:lang w:val="es-ES"/>
        </w:rPr>
        <w:t xml:space="preserve"> </w:t>
      </w:r>
      <w:r w:rsidR="00467F80" w:rsidRPr="003E391B">
        <w:rPr>
          <w:rFonts w:ascii="Times New Roman" w:hAnsi="Times New Roman" w:cs="Times New Roman"/>
          <w:color w:val="222222"/>
          <w:sz w:val="20"/>
          <w:szCs w:val="20"/>
          <w:lang w:val="es-ES"/>
        </w:rPr>
        <w:t xml:space="preserve">por interconectar sus redes, es decir, por permitir que otros operadores terminen llamadas en sus </w:t>
      </w:r>
      <w:r w:rsidR="00F11AE9" w:rsidRPr="003E391B">
        <w:rPr>
          <w:rFonts w:ascii="Times New Roman" w:hAnsi="Times New Roman" w:cs="Times New Roman"/>
          <w:color w:val="222222"/>
          <w:sz w:val="20"/>
          <w:szCs w:val="20"/>
          <w:lang w:val="es-ES"/>
        </w:rPr>
        <w:t xml:space="preserve">respectivas </w:t>
      </w:r>
      <w:r w:rsidR="00467F80" w:rsidRPr="003E391B">
        <w:rPr>
          <w:rFonts w:ascii="Times New Roman" w:hAnsi="Times New Roman" w:cs="Times New Roman"/>
          <w:color w:val="222222"/>
          <w:sz w:val="20"/>
          <w:szCs w:val="20"/>
          <w:lang w:val="es-ES"/>
        </w:rPr>
        <w:t>redes</w:t>
      </w:r>
      <w:r w:rsidR="00F11AE9" w:rsidRPr="003E391B">
        <w:rPr>
          <w:rFonts w:ascii="Times New Roman" w:hAnsi="Times New Roman" w:cs="Times New Roman"/>
          <w:color w:val="222222"/>
          <w:sz w:val="20"/>
          <w:szCs w:val="20"/>
          <w:lang w:val="es-ES"/>
        </w:rPr>
        <w:t>,</w:t>
      </w:r>
      <w:r w:rsidR="00467F80" w:rsidRPr="003E391B">
        <w:rPr>
          <w:rFonts w:ascii="Times New Roman" w:hAnsi="Times New Roman" w:cs="Times New Roman"/>
          <w:color w:val="222222"/>
          <w:sz w:val="20"/>
          <w:szCs w:val="20"/>
          <w:lang w:val="es-ES"/>
        </w:rPr>
        <w:t xml:space="preserve"> se conoce como tarifas de terminación, y tratándose de una red de comunicaciones móvil se denomina tarifa de terminación móvil (TTM).</w:t>
      </w:r>
      <w:r w:rsidR="00467F80" w:rsidRPr="003E391B">
        <w:rPr>
          <w:rFonts w:ascii="Times New Roman" w:hAnsi="Times New Roman" w:cs="Times New Roman"/>
          <w:sz w:val="20"/>
          <w:szCs w:val="20"/>
          <w:lang w:val="es-ES"/>
        </w:rPr>
        <w:t xml:space="preserve"> Esas tarifas mayoristas se regulan </w:t>
      </w:r>
      <w:r w:rsidR="00F11AE9" w:rsidRPr="003E391B">
        <w:rPr>
          <w:rFonts w:ascii="Times New Roman" w:hAnsi="Times New Roman" w:cs="Times New Roman"/>
          <w:sz w:val="20"/>
          <w:szCs w:val="20"/>
          <w:lang w:val="es-ES"/>
        </w:rPr>
        <w:t xml:space="preserve">normalmente </w:t>
      </w:r>
      <w:r w:rsidR="00467F80" w:rsidRPr="003E391B">
        <w:rPr>
          <w:rFonts w:ascii="Times New Roman" w:hAnsi="Times New Roman" w:cs="Times New Roman"/>
          <w:sz w:val="20"/>
          <w:szCs w:val="20"/>
          <w:lang w:val="es-ES"/>
        </w:rPr>
        <w:t>en funci</w:t>
      </w:r>
      <w:r w:rsidR="00AD4395">
        <w:rPr>
          <w:rFonts w:ascii="Times New Roman" w:hAnsi="Times New Roman" w:cs="Times New Roman"/>
          <w:sz w:val="20"/>
          <w:szCs w:val="20"/>
          <w:lang w:val="es-ES"/>
        </w:rPr>
        <w:t>ón de los costo</w:t>
      </w:r>
      <w:r w:rsidR="00467F80" w:rsidRPr="003E391B">
        <w:rPr>
          <w:rFonts w:ascii="Times New Roman" w:hAnsi="Times New Roman" w:cs="Times New Roman"/>
          <w:sz w:val="20"/>
          <w:szCs w:val="20"/>
          <w:lang w:val="es-ES"/>
        </w:rPr>
        <w:t xml:space="preserve">s que afrontan los operadores, su cuota de mercado, </w:t>
      </w:r>
      <w:r w:rsidR="00F11AE9" w:rsidRPr="003E391B">
        <w:rPr>
          <w:rFonts w:ascii="Times New Roman" w:hAnsi="Times New Roman" w:cs="Times New Roman"/>
          <w:sz w:val="20"/>
          <w:szCs w:val="20"/>
          <w:lang w:val="es-ES"/>
        </w:rPr>
        <w:t xml:space="preserve">entre otros criterios. En México, la </w:t>
      </w:r>
      <w:r w:rsidR="00F11AE9" w:rsidRPr="003E391B">
        <w:rPr>
          <w:rFonts w:ascii="Times New Roman" w:hAnsi="Times New Roman" w:cs="Times New Roman"/>
          <w:sz w:val="20"/>
          <w:szCs w:val="20"/>
        </w:rPr>
        <w:t xml:space="preserve">Ley Federal de Telecomunicaciones y Radiodifusión (LFTR) prevé que </w:t>
      </w:r>
      <w:r w:rsidR="00013D20" w:rsidRPr="003E391B">
        <w:rPr>
          <w:rFonts w:ascii="Times New Roman" w:hAnsi="Times New Roman" w:cs="Times New Roman"/>
          <w:sz w:val="20"/>
          <w:szCs w:val="20"/>
        </w:rPr>
        <w:t>los operadores negocien entre sí</w:t>
      </w:r>
      <w:r w:rsidR="00F11AE9" w:rsidRPr="003E391B">
        <w:rPr>
          <w:rFonts w:ascii="Times New Roman" w:hAnsi="Times New Roman" w:cs="Times New Roman"/>
          <w:sz w:val="20"/>
          <w:szCs w:val="20"/>
        </w:rPr>
        <w:t xml:space="preserve">, y sólo si no llegan a un acuerdo, corresponde al regulador establecer la TTM. </w:t>
      </w:r>
    </w:p>
    <w:p w:rsidR="00F11AE9" w:rsidRPr="003E391B" w:rsidRDefault="00F11AE9" w:rsidP="00C36258">
      <w:pPr>
        <w:spacing w:after="0" w:line="240" w:lineRule="auto"/>
        <w:jc w:val="both"/>
        <w:rPr>
          <w:rFonts w:ascii="Times New Roman" w:hAnsi="Times New Roman" w:cs="Times New Roman"/>
          <w:color w:val="222222"/>
          <w:sz w:val="20"/>
          <w:szCs w:val="20"/>
          <w:lang w:val="es-ES"/>
        </w:rPr>
      </w:pPr>
    </w:p>
    <w:p w:rsidR="009F0397" w:rsidRPr="003E391B" w:rsidRDefault="00510614" w:rsidP="00C36258">
      <w:pPr>
        <w:spacing w:after="0" w:line="240" w:lineRule="auto"/>
        <w:jc w:val="both"/>
        <w:rPr>
          <w:rFonts w:ascii="Times New Roman" w:hAnsi="Times New Roman" w:cs="Times New Roman"/>
          <w:sz w:val="20"/>
          <w:szCs w:val="20"/>
        </w:rPr>
      </w:pPr>
      <w:r w:rsidRPr="003E391B">
        <w:rPr>
          <w:rStyle w:val="hps"/>
          <w:rFonts w:ascii="Times New Roman" w:hAnsi="Times New Roman" w:cs="Times New Roman"/>
          <w:color w:val="222222"/>
          <w:sz w:val="20"/>
          <w:szCs w:val="20"/>
          <w:lang w:val="es-ES"/>
        </w:rPr>
        <w:t>E</w:t>
      </w:r>
      <w:r w:rsidR="00F5723E" w:rsidRPr="003E391B">
        <w:rPr>
          <w:rStyle w:val="hps"/>
          <w:rFonts w:ascii="Times New Roman" w:hAnsi="Times New Roman" w:cs="Times New Roman"/>
          <w:color w:val="222222"/>
          <w:sz w:val="20"/>
          <w:szCs w:val="20"/>
          <w:lang w:val="es-ES"/>
        </w:rPr>
        <w:t>n</w:t>
      </w:r>
      <w:r w:rsidR="00F5723E" w:rsidRPr="003E391B">
        <w:rPr>
          <w:rFonts w:ascii="Times New Roman" w:hAnsi="Times New Roman" w:cs="Times New Roman"/>
          <w:color w:val="222222"/>
          <w:sz w:val="20"/>
          <w:szCs w:val="20"/>
          <w:lang w:val="es-ES"/>
        </w:rPr>
        <w:t xml:space="preserve"> </w:t>
      </w:r>
      <w:r w:rsidR="00F5723E" w:rsidRPr="003E391B">
        <w:rPr>
          <w:rStyle w:val="hps"/>
          <w:rFonts w:ascii="Times New Roman" w:hAnsi="Times New Roman" w:cs="Times New Roman"/>
          <w:color w:val="222222"/>
          <w:sz w:val="20"/>
          <w:szCs w:val="20"/>
          <w:lang w:val="es-ES"/>
        </w:rPr>
        <w:t>muchos</w:t>
      </w:r>
      <w:r w:rsidR="00F5723E" w:rsidRPr="003E391B">
        <w:rPr>
          <w:rFonts w:ascii="Times New Roman" w:hAnsi="Times New Roman" w:cs="Times New Roman"/>
          <w:color w:val="222222"/>
          <w:sz w:val="20"/>
          <w:szCs w:val="20"/>
          <w:lang w:val="es-ES"/>
        </w:rPr>
        <w:t xml:space="preserve"> países, se han aplicado esquemas de </w:t>
      </w:r>
      <w:r w:rsidR="00F5723E" w:rsidRPr="003E391B">
        <w:rPr>
          <w:rStyle w:val="hps"/>
          <w:rFonts w:ascii="Times New Roman" w:hAnsi="Times New Roman" w:cs="Times New Roman"/>
          <w:color w:val="222222"/>
          <w:sz w:val="20"/>
          <w:szCs w:val="20"/>
          <w:lang w:val="es-ES"/>
        </w:rPr>
        <w:t>regulación</w:t>
      </w:r>
      <w:r w:rsidR="00F5723E" w:rsidRPr="003E391B">
        <w:rPr>
          <w:rFonts w:ascii="Times New Roman" w:hAnsi="Times New Roman" w:cs="Times New Roman"/>
          <w:color w:val="222222"/>
          <w:sz w:val="20"/>
          <w:szCs w:val="20"/>
          <w:lang w:val="es-ES"/>
        </w:rPr>
        <w:t xml:space="preserve"> </w:t>
      </w:r>
      <w:r w:rsidR="00AD4395">
        <w:rPr>
          <w:rStyle w:val="hps"/>
          <w:rFonts w:ascii="Times New Roman" w:hAnsi="Times New Roman" w:cs="Times New Roman"/>
          <w:color w:val="222222"/>
          <w:sz w:val="20"/>
          <w:szCs w:val="20"/>
          <w:lang w:val="es-ES"/>
        </w:rPr>
        <w:t>asimétrica</w:t>
      </w:r>
      <w:r w:rsidR="00F5723E" w:rsidRPr="003E391B">
        <w:rPr>
          <w:rStyle w:val="hps"/>
          <w:rFonts w:ascii="Times New Roman" w:hAnsi="Times New Roman" w:cs="Times New Roman"/>
          <w:color w:val="222222"/>
          <w:sz w:val="20"/>
          <w:szCs w:val="20"/>
          <w:lang w:val="es-ES"/>
        </w:rPr>
        <w:t xml:space="preserve"> que incluyen disposiciones</w:t>
      </w:r>
      <w:r w:rsidR="00F5723E" w:rsidRPr="003E391B">
        <w:rPr>
          <w:rFonts w:ascii="Times New Roman" w:hAnsi="Times New Roman" w:cs="Times New Roman"/>
          <w:color w:val="222222"/>
          <w:sz w:val="20"/>
          <w:szCs w:val="20"/>
          <w:lang w:val="es-ES"/>
        </w:rPr>
        <w:t xml:space="preserve"> </w:t>
      </w:r>
      <w:r w:rsidR="00F11AE9" w:rsidRPr="003E391B">
        <w:rPr>
          <w:rStyle w:val="hps"/>
          <w:rFonts w:ascii="Times New Roman" w:hAnsi="Times New Roman" w:cs="Times New Roman"/>
          <w:color w:val="222222"/>
          <w:sz w:val="20"/>
          <w:szCs w:val="20"/>
          <w:lang w:val="es-ES"/>
        </w:rPr>
        <w:t xml:space="preserve">de acceso más rigurosas, y una TTM más baja, </w:t>
      </w:r>
      <w:r w:rsidR="00F5723E" w:rsidRPr="003E391B">
        <w:rPr>
          <w:rStyle w:val="hps"/>
          <w:rFonts w:ascii="Times New Roman" w:hAnsi="Times New Roman" w:cs="Times New Roman"/>
          <w:color w:val="222222"/>
          <w:sz w:val="20"/>
          <w:szCs w:val="20"/>
          <w:lang w:val="es-ES"/>
        </w:rPr>
        <w:t>para los operadores de mayor y mejor posicionamiento en el mercado. Lo anterior busca</w:t>
      </w:r>
      <w:r w:rsidR="00F5723E" w:rsidRPr="003E391B">
        <w:rPr>
          <w:rFonts w:ascii="Times New Roman" w:hAnsi="Times New Roman" w:cs="Times New Roman"/>
          <w:color w:val="222222"/>
          <w:sz w:val="20"/>
          <w:szCs w:val="20"/>
          <w:lang w:val="es-ES"/>
        </w:rPr>
        <w:t xml:space="preserve"> </w:t>
      </w:r>
      <w:r w:rsidR="00F5723E" w:rsidRPr="003E391B">
        <w:rPr>
          <w:rStyle w:val="hps"/>
          <w:rFonts w:ascii="Times New Roman" w:hAnsi="Times New Roman" w:cs="Times New Roman"/>
          <w:color w:val="222222"/>
          <w:sz w:val="20"/>
          <w:szCs w:val="20"/>
          <w:lang w:val="es-ES"/>
        </w:rPr>
        <w:t>mejorar</w:t>
      </w:r>
      <w:r w:rsidR="00F5723E" w:rsidRPr="003E391B">
        <w:rPr>
          <w:rFonts w:ascii="Times New Roman" w:hAnsi="Times New Roman" w:cs="Times New Roman"/>
          <w:color w:val="222222"/>
          <w:sz w:val="20"/>
          <w:szCs w:val="20"/>
          <w:lang w:val="es-ES"/>
        </w:rPr>
        <w:t xml:space="preserve"> </w:t>
      </w:r>
      <w:r w:rsidR="00F5723E" w:rsidRPr="003E391B">
        <w:rPr>
          <w:rStyle w:val="hps"/>
          <w:rFonts w:ascii="Times New Roman" w:hAnsi="Times New Roman" w:cs="Times New Roman"/>
          <w:color w:val="222222"/>
          <w:sz w:val="20"/>
          <w:szCs w:val="20"/>
          <w:lang w:val="es-ES"/>
        </w:rPr>
        <w:t>las</w:t>
      </w:r>
      <w:r w:rsidR="00F5723E" w:rsidRPr="007238F6">
        <w:rPr>
          <w:rFonts w:ascii="Times New Roman" w:hAnsi="Times New Roman" w:cs="Times New Roman"/>
          <w:color w:val="222222"/>
          <w:lang w:val="es-ES"/>
        </w:rPr>
        <w:t xml:space="preserve"> </w:t>
      </w:r>
      <w:r w:rsidR="00F5723E" w:rsidRPr="003E391B">
        <w:rPr>
          <w:rStyle w:val="hps"/>
          <w:rFonts w:ascii="Times New Roman" w:hAnsi="Times New Roman" w:cs="Times New Roman"/>
          <w:color w:val="222222"/>
          <w:sz w:val="20"/>
          <w:szCs w:val="20"/>
          <w:lang w:val="es-ES"/>
        </w:rPr>
        <w:t xml:space="preserve">oportunidades </w:t>
      </w:r>
      <w:r w:rsidR="00F5723E" w:rsidRPr="003E391B">
        <w:rPr>
          <w:rStyle w:val="hps"/>
          <w:rFonts w:ascii="Times New Roman" w:hAnsi="Times New Roman" w:cs="Times New Roman"/>
          <w:color w:val="222222"/>
          <w:sz w:val="20"/>
          <w:szCs w:val="20"/>
          <w:lang w:val="es-ES"/>
        </w:rPr>
        <w:lastRenderedPageBreak/>
        <w:t>de competencia de</w:t>
      </w:r>
      <w:r w:rsidR="00F5723E" w:rsidRPr="003E391B">
        <w:rPr>
          <w:rFonts w:ascii="Times New Roman" w:hAnsi="Times New Roman" w:cs="Times New Roman"/>
          <w:color w:val="222222"/>
          <w:sz w:val="20"/>
          <w:szCs w:val="20"/>
          <w:lang w:val="es-ES"/>
        </w:rPr>
        <w:t xml:space="preserve"> </w:t>
      </w:r>
      <w:r w:rsidR="00F5723E" w:rsidRPr="003E391B">
        <w:rPr>
          <w:rStyle w:val="hps"/>
          <w:rFonts w:ascii="Times New Roman" w:hAnsi="Times New Roman" w:cs="Times New Roman"/>
          <w:color w:val="222222"/>
          <w:sz w:val="20"/>
          <w:szCs w:val="20"/>
          <w:lang w:val="es-ES"/>
        </w:rPr>
        <w:t>los nuevos operadores,</w:t>
      </w:r>
      <w:r w:rsidR="00F5723E" w:rsidRPr="003E391B">
        <w:rPr>
          <w:rFonts w:ascii="Times New Roman" w:hAnsi="Times New Roman" w:cs="Times New Roman"/>
          <w:color w:val="222222"/>
          <w:sz w:val="20"/>
          <w:szCs w:val="20"/>
          <w:lang w:val="es-ES"/>
        </w:rPr>
        <w:t xml:space="preserve"> </w:t>
      </w:r>
      <w:r w:rsidR="00F5723E" w:rsidRPr="003E391B">
        <w:rPr>
          <w:rStyle w:val="hps"/>
          <w:rFonts w:ascii="Times New Roman" w:hAnsi="Times New Roman" w:cs="Times New Roman"/>
          <w:color w:val="222222"/>
          <w:sz w:val="20"/>
          <w:szCs w:val="20"/>
          <w:lang w:val="es-ES"/>
        </w:rPr>
        <w:t>así como establecer límites</w:t>
      </w:r>
      <w:r w:rsidR="00F5723E" w:rsidRPr="003E391B">
        <w:rPr>
          <w:rFonts w:ascii="Times New Roman" w:hAnsi="Times New Roman" w:cs="Times New Roman"/>
          <w:color w:val="222222"/>
          <w:sz w:val="20"/>
          <w:szCs w:val="20"/>
          <w:lang w:val="es-ES"/>
        </w:rPr>
        <w:t xml:space="preserve"> </w:t>
      </w:r>
      <w:r w:rsidR="00F5723E" w:rsidRPr="003E391B">
        <w:rPr>
          <w:rStyle w:val="hps"/>
          <w:rFonts w:ascii="Times New Roman" w:hAnsi="Times New Roman" w:cs="Times New Roman"/>
          <w:color w:val="222222"/>
          <w:sz w:val="20"/>
          <w:szCs w:val="20"/>
          <w:lang w:val="es-ES"/>
        </w:rPr>
        <w:t>al</w:t>
      </w:r>
      <w:r w:rsidR="00F5723E" w:rsidRPr="003E391B">
        <w:rPr>
          <w:rFonts w:ascii="Times New Roman" w:hAnsi="Times New Roman" w:cs="Times New Roman"/>
          <w:color w:val="222222"/>
          <w:sz w:val="20"/>
          <w:szCs w:val="20"/>
          <w:lang w:val="es-ES"/>
        </w:rPr>
        <w:t xml:space="preserve"> </w:t>
      </w:r>
      <w:r w:rsidR="00F5723E" w:rsidRPr="003E391B">
        <w:rPr>
          <w:rStyle w:val="hps"/>
          <w:rFonts w:ascii="Times New Roman" w:hAnsi="Times New Roman" w:cs="Times New Roman"/>
          <w:color w:val="222222"/>
          <w:sz w:val="20"/>
          <w:szCs w:val="20"/>
          <w:lang w:val="es-ES"/>
        </w:rPr>
        <w:t>poder de mercado de</w:t>
      </w:r>
      <w:r w:rsidR="00F5723E" w:rsidRPr="003E391B">
        <w:rPr>
          <w:rFonts w:ascii="Times New Roman" w:hAnsi="Times New Roman" w:cs="Times New Roman"/>
          <w:color w:val="222222"/>
          <w:sz w:val="20"/>
          <w:szCs w:val="20"/>
          <w:lang w:val="es-ES"/>
        </w:rPr>
        <w:t xml:space="preserve"> </w:t>
      </w:r>
      <w:r w:rsidR="00F5723E" w:rsidRPr="003E391B">
        <w:rPr>
          <w:rStyle w:val="hps"/>
          <w:rFonts w:ascii="Times New Roman" w:hAnsi="Times New Roman" w:cs="Times New Roman"/>
          <w:color w:val="222222"/>
          <w:sz w:val="20"/>
          <w:szCs w:val="20"/>
          <w:lang w:val="es-ES"/>
        </w:rPr>
        <w:t>las empresas</w:t>
      </w:r>
      <w:r w:rsidR="00F5723E" w:rsidRPr="003E391B">
        <w:rPr>
          <w:rFonts w:ascii="Times New Roman" w:hAnsi="Times New Roman" w:cs="Times New Roman"/>
          <w:color w:val="222222"/>
          <w:sz w:val="20"/>
          <w:szCs w:val="20"/>
          <w:lang w:val="es-ES"/>
        </w:rPr>
        <w:t xml:space="preserve"> </w:t>
      </w:r>
      <w:r w:rsidR="000C0221" w:rsidRPr="003E391B">
        <w:rPr>
          <w:rStyle w:val="hps"/>
          <w:rFonts w:ascii="Times New Roman" w:hAnsi="Times New Roman" w:cs="Times New Roman"/>
          <w:color w:val="222222"/>
          <w:sz w:val="20"/>
          <w:szCs w:val="20"/>
          <w:lang w:val="es-ES"/>
        </w:rPr>
        <w:t>preponderante</w:t>
      </w:r>
      <w:r w:rsidR="00F5723E" w:rsidRPr="003E391B">
        <w:rPr>
          <w:rStyle w:val="hps"/>
          <w:rFonts w:ascii="Times New Roman" w:hAnsi="Times New Roman" w:cs="Times New Roman"/>
          <w:color w:val="222222"/>
          <w:sz w:val="20"/>
          <w:szCs w:val="20"/>
          <w:lang w:val="es-ES"/>
        </w:rPr>
        <w:t>s</w:t>
      </w:r>
      <w:r w:rsidR="00756603" w:rsidRPr="003E391B">
        <w:rPr>
          <w:rStyle w:val="Refdenotaalpie"/>
          <w:rFonts w:ascii="Times New Roman" w:hAnsi="Times New Roman" w:cs="Times New Roman"/>
          <w:color w:val="222222"/>
          <w:sz w:val="20"/>
          <w:szCs w:val="20"/>
          <w:lang w:val="es-ES"/>
        </w:rPr>
        <w:footnoteReference w:id="1"/>
      </w:r>
      <w:r w:rsidRPr="003E391B">
        <w:rPr>
          <w:rStyle w:val="hps"/>
          <w:rFonts w:ascii="Times New Roman" w:hAnsi="Times New Roman" w:cs="Times New Roman"/>
          <w:color w:val="222222"/>
          <w:sz w:val="20"/>
          <w:szCs w:val="20"/>
          <w:lang w:val="es-ES"/>
        </w:rPr>
        <w:t xml:space="preserve"> o</w:t>
      </w:r>
      <w:r w:rsidRPr="003E391B">
        <w:rPr>
          <w:rFonts w:ascii="Times New Roman" w:hAnsi="Times New Roman" w:cs="Times New Roman"/>
          <w:sz w:val="20"/>
          <w:szCs w:val="20"/>
        </w:rPr>
        <w:t xml:space="preserve"> establecidas</w:t>
      </w:r>
      <w:r w:rsidR="00F5723E" w:rsidRPr="003E391B">
        <w:rPr>
          <w:rStyle w:val="hps"/>
          <w:rFonts w:ascii="Times New Roman" w:hAnsi="Times New Roman" w:cs="Times New Roman"/>
          <w:color w:val="222222"/>
          <w:sz w:val="20"/>
          <w:szCs w:val="20"/>
          <w:lang w:val="es-ES"/>
        </w:rPr>
        <w:t xml:space="preserve">. </w:t>
      </w:r>
      <w:r w:rsidR="008C3315" w:rsidRPr="003E391B">
        <w:rPr>
          <w:rStyle w:val="hps"/>
          <w:rFonts w:ascii="Times New Roman" w:hAnsi="Times New Roman" w:cs="Times New Roman"/>
          <w:color w:val="222222"/>
          <w:sz w:val="20"/>
          <w:szCs w:val="20"/>
          <w:lang w:val="es-ES"/>
        </w:rPr>
        <w:t xml:space="preserve">Dentro de estos esquemas asimétricos, destaca la aplicación de </w:t>
      </w:r>
      <w:r w:rsidRPr="003E391B">
        <w:rPr>
          <w:rFonts w:ascii="Times New Roman" w:hAnsi="Times New Roman" w:cs="Times New Roman"/>
          <w:sz w:val="20"/>
          <w:szCs w:val="20"/>
        </w:rPr>
        <w:t xml:space="preserve">TTM </w:t>
      </w:r>
      <w:r w:rsidR="008C3315" w:rsidRPr="003E391B">
        <w:rPr>
          <w:rFonts w:ascii="Times New Roman" w:hAnsi="Times New Roman" w:cs="Times New Roman"/>
          <w:sz w:val="20"/>
          <w:szCs w:val="20"/>
        </w:rPr>
        <w:t xml:space="preserve"> </w:t>
      </w:r>
      <w:r w:rsidR="008C3315" w:rsidRPr="003E391B">
        <w:rPr>
          <w:rStyle w:val="hps"/>
          <w:rFonts w:ascii="Times New Roman" w:hAnsi="Times New Roman" w:cs="Times New Roman"/>
          <w:color w:val="222222"/>
          <w:sz w:val="20"/>
          <w:szCs w:val="20"/>
          <w:lang w:val="es-ES"/>
        </w:rPr>
        <w:t>diferentes</w:t>
      </w:r>
      <w:r w:rsidRPr="003E391B">
        <w:rPr>
          <w:rStyle w:val="hps"/>
          <w:rFonts w:ascii="Times New Roman" w:hAnsi="Times New Roman" w:cs="Times New Roman"/>
          <w:color w:val="222222"/>
          <w:sz w:val="20"/>
          <w:szCs w:val="20"/>
          <w:lang w:val="es-ES"/>
        </w:rPr>
        <w:t xml:space="preserve"> o asimétricas</w:t>
      </w:r>
      <w:r w:rsidR="008C3315" w:rsidRPr="003E391B">
        <w:rPr>
          <w:rStyle w:val="hps"/>
          <w:rFonts w:ascii="Times New Roman" w:hAnsi="Times New Roman" w:cs="Times New Roman"/>
          <w:color w:val="222222"/>
          <w:sz w:val="20"/>
          <w:szCs w:val="20"/>
          <w:lang w:val="es-ES"/>
        </w:rPr>
        <w:t>, según se t</w:t>
      </w:r>
      <w:r w:rsidRPr="003E391B">
        <w:rPr>
          <w:rStyle w:val="hps"/>
          <w:rFonts w:ascii="Times New Roman" w:hAnsi="Times New Roman" w:cs="Times New Roman"/>
          <w:color w:val="222222"/>
          <w:sz w:val="20"/>
          <w:szCs w:val="20"/>
          <w:lang w:val="es-ES"/>
        </w:rPr>
        <w:t xml:space="preserve">rate de operadores entrantes o </w:t>
      </w:r>
      <w:r w:rsidR="000C0221" w:rsidRPr="003E391B">
        <w:rPr>
          <w:rStyle w:val="hps"/>
          <w:rFonts w:ascii="Times New Roman" w:hAnsi="Times New Roman" w:cs="Times New Roman"/>
          <w:color w:val="222222"/>
          <w:sz w:val="20"/>
          <w:szCs w:val="20"/>
          <w:lang w:val="es-ES"/>
        </w:rPr>
        <w:t>preponderante</w:t>
      </w:r>
      <w:r w:rsidR="008C3315" w:rsidRPr="003E391B">
        <w:rPr>
          <w:rStyle w:val="hps"/>
          <w:rFonts w:ascii="Times New Roman" w:hAnsi="Times New Roman" w:cs="Times New Roman"/>
          <w:color w:val="222222"/>
          <w:sz w:val="20"/>
          <w:szCs w:val="20"/>
          <w:lang w:val="es-ES"/>
        </w:rPr>
        <w:t xml:space="preserve">s. Bajo este esquema, se </w:t>
      </w:r>
      <w:r w:rsidR="0082577A">
        <w:rPr>
          <w:rStyle w:val="hps"/>
          <w:rFonts w:ascii="Times New Roman" w:hAnsi="Times New Roman" w:cs="Times New Roman"/>
          <w:color w:val="222222"/>
          <w:sz w:val="20"/>
          <w:szCs w:val="20"/>
          <w:lang w:val="es-ES"/>
        </w:rPr>
        <w:t>aplican</w:t>
      </w:r>
      <w:r w:rsidR="008C3315" w:rsidRPr="003E391B">
        <w:rPr>
          <w:rStyle w:val="hps"/>
          <w:rFonts w:ascii="Times New Roman" w:hAnsi="Times New Roman" w:cs="Times New Roman"/>
          <w:color w:val="222222"/>
          <w:sz w:val="20"/>
          <w:szCs w:val="20"/>
          <w:lang w:val="es-ES"/>
        </w:rPr>
        <w:t xml:space="preserve"> cargos más elevados (costos más un margen de utilidad) a los operadores entrantes, y un cargo menor, igual al costo, al operador </w:t>
      </w:r>
      <w:r w:rsidR="000C0221" w:rsidRPr="003E391B">
        <w:rPr>
          <w:rStyle w:val="hps"/>
          <w:rFonts w:ascii="Times New Roman" w:hAnsi="Times New Roman" w:cs="Times New Roman"/>
          <w:color w:val="222222"/>
          <w:sz w:val="20"/>
          <w:szCs w:val="20"/>
          <w:lang w:val="es-ES"/>
        </w:rPr>
        <w:t>preponderante</w:t>
      </w:r>
      <w:r w:rsidR="008C3315" w:rsidRPr="003E391B">
        <w:rPr>
          <w:rStyle w:val="hps"/>
          <w:rFonts w:ascii="Times New Roman" w:hAnsi="Times New Roman" w:cs="Times New Roman"/>
          <w:color w:val="222222"/>
          <w:sz w:val="20"/>
          <w:szCs w:val="20"/>
          <w:lang w:val="es-ES"/>
        </w:rPr>
        <w:t>.</w:t>
      </w:r>
    </w:p>
    <w:p w:rsidR="004A66A0" w:rsidRPr="003E391B" w:rsidRDefault="004A66A0" w:rsidP="00C36258">
      <w:pPr>
        <w:spacing w:after="0" w:line="240" w:lineRule="auto"/>
        <w:jc w:val="both"/>
        <w:rPr>
          <w:rFonts w:ascii="Times New Roman" w:hAnsi="Times New Roman" w:cs="Times New Roman"/>
          <w:sz w:val="20"/>
          <w:szCs w:val="20"/>
        </w:rPr>
      </w:pPr>
    </w:p>
    <w:p w:rsidR="007D1851" w:rsidRPr="003E391B" w:rsidRDefault="006668F7" w:rsidP="00C36258">
      <w:pPr>
        <w:spacing w:after="0" w:line="240" w:lineRule="auto"/>
        <w:jc w:val="both"/>
        <w:rPr>
          <w:rFonts w:ascii="Times New Roman" w:hAnsi="Times New Roman" w:cs="Times New Roman"/>
          <w:sz w:val="20"/>
          <w:szCs w:val="20"/>
        </w:rPr>
      </w:pPr>
      <w:r w:rsidRPr="003E391B">
        <w:rPr>
          <w:rFonts w:ascii="Times New Roman" w:hAnsi="Times New Roman" w:cs="Times New Roman"/>
          <w:sz w:val="20"/>
          <w:szCs w:val="20"/>
        </w:rPr>
        <w:t xml:space="preserve">La aplicación de </w:t>
      </w:r>
      <w:r w:rsidR="00510614" w:rsidRPr="003E391B">
        <w:rPr>
          <w:rFonts w:ascii="Times New Roman" w:hAnsi="Times New Roman" w:cs="Times New Roman"/>
          <w:sz w:val="20"/>
          <w:szCs w:val="20"/>
        </w:rPr>
        <w:t>TTM</w:t>
      </w:r>
      <w:r w:rsidR="00BC58C4" w:rsidRPr="003E391B">
        <w:rPr>
          <w:rFonts w:ascii="Times New Roman" w:hAnsi="Times New Roman" w:cs="Times New Roman"/>
          <w:sz w:val="20"/>
          <w:szCs w:val="20"/>
        </w:rPr>
        <w:t xml:space="preserve"> asimétrica</w:t>
      </w:r>
      <w:r w:rsidR="00C02E92" w:rsidRPr="003E391B">
        <w:rPr>
          <w:rFonts w:ascii="Times New Roman" w:hAnsi="Times New Roman" w:cs="Times New Roman"/>
          <w:sz w:val="20"/>
          <w:szCs w:val="20"/>
        </w:rPr>
        <w:t>s inici</w:t>
      </w:r>
      <w:r w:rsidR="00510614" w:rsidRPr="003E391B">
        <w:rPr>
          <w:rFonts w:ascii="Times New Roman" w:hAnsi="Times New Roman" w:cs="Times New Roman"/>
          <w:sz w:val="20"/>
          <w:szCs w:val="20"/>
        </w:rPr>
        <w:t>ó</w:t>
      </w:r>
      <w:r w:rsidR="00BC58C4" w:rsidRPr="003E391B">
        <w:rPr>
          <w:rFonts w:ascii="Times New Roman" w:hAnsi="Times New Roman" w:cs="Times New Roman"/>
          <w:sz w:val="20"/>
          <w:szCs w:val="20"/>
        </w:rPr>
        <w:t xml:space="preserve"> </w:t>
      </w:r>
      <w:r w:rsidR="00095957" w:rsidRPr="003E391B">
        <w:rPr>
          <w:rFonts w:ascii="Times New Roman" w:hAnsi="Times New Roman" w:cs="Times New Roman"/>
          <w:sz w:val="20"/>
          <w:szCs w:val="20"/>
        </w:rPr>
        <w:t xml:space="preserve">a principios del </w:t>
      </w:r>
      <w:r w:rsidR="00BC58C4" w:rsidRPr="003E391B">
        <w:rPr>
          <w:rFonts w:ascii="Times New Roman" w:hAnsi="Times New Roman" w:cs="Times New Roman"/>
          <w:sz w:val="20"/>
          <w:szCs w:val="20"/>
        </w:rPr>
        <w:t xml:space="preserve">milenio </w:t>
      </w:r>
      <w:r w:rsidR="00A82D33" w:rsidRPr="003E391B">
        <w:rPr>
          <w:rFonts w:ascii="Times New Roman" w:hAnsi="Times New Roman" w:cs="Times New Roman"/>
          <w:sz w:val="20"/>
          <w:szCs w:val="20"/>
        </w:rPr>
        <w:t xml:space="preserve">en los países que </w:t>
      </w:r>
      <w:r w:rsidR="003217AD" w:rsidRPr="003E391B">
        <w:rPr>
          <w:rFonts w:ascii="Times New Roman" w:hAnsi="Times New Roman" w:cs="Times New Roman"/>
          <w:sz w:val="20"/>
          <w:szCs w:val="20"/>
        </w:rPr>
        <w:t>integran la Unión Europea</w:t>
      </w:r>
      <w:r w:rsidR="00235A09" w:rsidRPr="003E391B">
        <w:rPr>
          <w:rFonts w:ascii="Times New Roman" w:hAnsi="Times New Roman" w:cs="Times New Roman"/>
          <w:sz w:val="20"/>
          <w:szCs w:val="20"/>
        </w:rPr>
        <w:t xml:space="preserve"> (Comisión Europea 2009)</w:t>
      </w:r>
      <w:r w:rsidR="008F46A4" w:rsidRPr="003E391B">
        <w:rPr>
          <w:rFonts w:ascii="Times New Roman" w:hAnsi="Times New Roman" w:cs="Times New Roman"/>
          <w:sz w:val="20"/>
          <w:szCs w:val="20"/>
        </w:rPr>
        <w:t>.</w:t>
      </w:r>
      <w:r w:rsidR="003217AD" w:rsidRPr="003E391B">
        <w:rPr>
          <w:rFonts w:ascii="Times New Roman" w:hAnsi="Times New Roman" w:cs="Times New Roman"/>
          <w:sz w:val="20"/>
          <w:szCs w:val="20"/>
        </w:rPr>
        <w:t xml:space="preserve"> </w:t>
      </w:r>
      <w:r w:rsidR="00BC58C4" w:rsidRPr="003E391B">
        <w:rPr>
          <w:rFonts w:ascii="Times New Roman" w:hAnsi="Times New Roman" w:cs="Times New Roman"/>
          <w:sz w:val="20"/>
          <w:szCs w:val="20"/>
        </w:rPr>
        <w:t>E</w:t>
      </w:r>
      <w:r w:rsidR="00435234" w:rsidRPr="003E391B">
        <w:rPr>
          <w:rFonts w:ascii="Times New Roman" w:hAnsi="Times New Roman" w:cs="Times New Roman"/>
          <w:sz w:val="20"/>
          <w:szCs w:val="20"/>
        </w:rPr>
        <w:t>se</w:t>
      </w:r>
      <w:r w:rsidR="000756FE" w:rsidRPr="003E391B">
        <w:rPr>
          <w:rFonts w:ascii="Times New Roman" w:hAnsi="Times New Roman" w:cs="Times New Roman"/>
          <w:sz w:val="20"/>
          <w:szCs w:val="20"/>
        </w:rPr>
        <w:t xml:space="preserve"> esquema de </w:t>
      </w:r>
      <w:r w:rsidR="00BC58C4" w:rsidRPr="003E391B">
        <w:rPr>
          <w:rFonts w:ascii="Times New Roman" w:hAnsi="Times New Roman" w:cs="Times New Roman"/>
          <w:sz w:val="20"/>
          <w:szCs w:val="20"/>
        </w:rPr>
        <w:t>regulación asimétrica</w:t>
      </w:r>
      <w:r w:rsidR="00435234" w:rsidRPr="003E391B">
        <w:rPr>
          <w:rFonts w:ascii="Times New Roman" w:hAnsi="Times New Roman" w:cs="Times New Roman"/>
          <w:sz w:val="20"/>
          <w:szCs w:val="20"/>
        </w:rPr>
        <w:t xml:space="preserve"> cubrió</w:t>
      </w:r>
      <w:r w:rsidR="00BC58C4" w:rsidRPr="003E391B">
        <w:rPr>
          <w:rFonts w:ascii="Times New Roman" w:hAnsi="Times New Roman" w:cs="Times New Roman"/>
          <w:sz w:val="20"/>
          <w:szCs w:val="20"/>
        </w:rPr>
        <w:t xml:space="preserve"> dos líneas de acción: la primera</w:t>
      </w:r>
      <w:r w:rsidR="003217AD" w:rsidRPr="003E391B">
        <w:rPr>
          <w:rFonts w:ascii="Times New Roman" w:hAnsi="Times New Roman" w:cs="Times New Roman"/>
          <w:sz w:val="20"/>
          <w:szCs w:val="20"/>
        </w:rPr>
        <w:t xml:space="preserve"> </w:t>
      </w:r>
      <w:r w:rsidR="008F46A4" w:rsidRPr="003E391B">
        <w:rPr>
          <w:rFonts w:ascii="Times New Roman" w:hAnsi="Times New Roman" w:cs="Times New Roman"/>
          <w:sz w:val="20"/>
          <w:szCs w:val="20"/>
        </w:rPr>
        <w:t xml:space="preserve">prevé </w:t>
      </w:r>
      <w:r w:rsidR="002545ED" w:rsidRPr="003E391B">
        <w:rPr>
          <w:rFonts w:ascii="Times New Roman" w:hAnsi="Times New Roman" w:cs="Times New Roman"/>
          <w:sz w:val="20"/>
          <w:szCs w:val="20"/>
        </w:rPr>
        <w:t xml:space="preserve">la </w:t>
      </w:r>
      <w:r w:rsidR="003217AD" w:rsidRPr="003E391B">
        <w:rPr>
          <w:rFonts w:ascii="Times New Roman" w:hAnsi="Times New Roman" w:cs="Times New Roman"/>
          <w:sz w:val="20"/>
          <w:szCs w:val="20"/>
        </w:rPr>
        <w:t>aplicación de TTM diferen</w:t>
      </w:r>
      <w:r w:rsidR="00435234" w:rsidRPr="003E391B">
        <w:rPr>
          <w:rFonts w:ascii="Times New Roman" w:hAnsi="Times New Roman" w:cs="Times New Roman"/>
          <w:sz w:val="20"/>
          <w:szCs w:val="20"/>
        </w:rPr>
        <w:t>ciales. En ésta</w:t>
      </w:r>
      <w:r w:rsidR="008C3315" w:rsidRPr="003E391B">
        <w:rPr>
          <w:rFonts w:ascii="Times New Roman" w:hAnsi="Times New Roman" w:cs="Times New Roman"/>
          <w:sz w:val="20"/>
          <w:szCs w:val="20"/>
        </w:rPr>
        <w:t xml:space="preserve"> se usó</w:t>
      </w:r>
      <w:r w:rsidR="00BC58C4" w:rsidRPr="003E391B">
        <w:rPr>
          <w:rFonts w:ascii="Times New Roman" w:hAnsi="Times New Roman" w:cs="Times New Roman"/>
          <w:sz w:val="20"/>
          <w:szCs w:val="20"/>
        </w:rPr>
        <w:t xml:space="preserve"> una TTM </w:t>
      </w:r>
      <w:r w:rsidR="003217AD" w:rsidRPr="003E391B">
        <w:rPr>
          <w:rFonts w:ascii="Times New Roman" w:hAnsi="Times New Roman" w:cs="Times New Roman"/>
          <w:sz w:val="20"/>
          <w:szCs w:val="20"/>
        </w:rPr>
        <w:t>estimada</w:t>
      </w:r>
      <w:r w:rsidR="002545ED" w:rsidRPr="003E391B">
        <w:rPr>
          <w:rFonts w:ascii="Times New Roman" w:hAnsi="Times New Roman" w:cs="Times New Roman"/>
          <w:sz w:val="20"/>
          <w:szCs w:val="20"/>
        </w:rPr>
        <w:t xml:space="preserve"> a partir de costos eficientes para la empresa </w:t>
      </w:r>
      <w:r w:rsidR="000C0221" w:rsidRPr="003E391B">
        <w:rPr>
          <w:rFonts w:ascii="Times New Roman" w:hAnsi="Times New Roman" w:cs="Times New Roman"/>
          <w:sz w:val="20"/>
          <w:szCs w:val="20"/>
        </w:rPr>
        <w:t>preponderante</w:t>
      </w:r>
      <w:r w:rsidR="002545ED" w:rsidRPr="003E391B">
        <w:rPr>
          <w:rFonts w:ascii="Times New Roman" w:hAnsi="Times New Roman" w:cs="Times New Roman"/>
          <w:sz w:val="20"/>
          <w:szCs w:val="20"/>
        </w:rPr>
        <w:t xml:space="preserve">, y </w:t>
      </w:r>
      <w:r w:rsidR="00BC58C4" w:rsidRPr="003E391B">
        <w:rPr>
          <w:rFonts w:ascii="Times New Roman" w:hAnsi="Times New Roman" w:cs="Times New Roman"/>
          <w:sz w:val="20"/>
          <w:szCs w:val="20"/>
        </w:rPr>
        <w:t>otra más elevada par</w:t>
      </w:r>
      <w:r w:rsidR="002545ED" w:rsidRPr="003E391B">
        <w:rPr>
          <w:rFonts w:ascii="Times New Roman" w:hAnsi="Times New Roman" w:cs="Times New Roman"/>
          <w:sz w:val="20"/>
          <w:szCs w:val="20"/>
        </w:rPr>
        <w:t>a los operadores entrantes al mercado</w:t>
      </w:r>
      <w:r w:rsidR="00435234" w:rsidRPr="003E391B">
        <w:rPr>
          <w:rFonts w:ascii="Times New Roman" w:hAnsi="Times New Roman" w:cs="Times New Roman"/>
          <w:sz w:val="20"/>
          <w:szCs w:val="20"/>
        </w:rPr>
        <w:t>,</w:t>
      </w:r>
      <w:r w:rsidR="008418DA" w:rsidRPr="003E391B">
        <w:rPr>
          <w:rFonts w:ascii="Times New Roman" w:hAnsi="Times New Roman" w:cs="Times New Roman"/>
          <w:sz w:val="20"/>
          <w:szCs w:val="20"/>
        </w:rPr>
        <w:t xml:space="preserve"> a quienes se autorizó</w:t>
      </w:r>
      <w:r w:rsidR="003217AD" w:rsidRPr="003E391B">
        <w:rPr>
          <w:rFonts w:ascii="Times New Roman" w:hAnsi="Times New Roman" w:cs="Times New Roman"/>
          <w:sz w:val="20"/>
          <w:szCs w:val="20"/>
        </w:rPr>
        <w:t xml:space="preserve"> la aplicación de </w:t>
      </w:r>
      <w:r w:rsidR="002545ED" w:rsidRPr="003E391B">
        <w:rPr>
          <w:rFonts w:ascii="Times New Roman" w:hAnsi="Times New Roman" w:cs="Times New Roman"/>
          <w:sz w:val="20"/>
          <w:szCs w:val="20"/>
        </w:rPr>
        <w:t xml:space="preserve">un margen </w:t>
      </w:r>
      <w:r w:rsidR="00510614" w:rsidRPr="003E391B">
        <w:rPr>
          <w:rFonts w:ascii="Times New Roman" w:hAnsi="Times New Roman" w:cs="Times New Roman"/>
          <w:sz w:val="20"/>
          <w:szCs w:val="20"/>
        </w:rPr>
        <w:t>de utilidad.</w:t>
      </w:r>
      <w:r w:rsidR="002545ED" w:rsidRPr="003E391B">
        <w:rPr>
          <w:rFonts w:ascii="Times New Roman" w:hAnsi="Times New Roman" w:cs="Times New Roman"/>
          <w:sz w:val="20"/>
          <w:szCs w:val="20"/>
        </w:rPr>
        <w:t xml:space="preserve"> </w:t>
      </w:r>
      <w:r w:rsidR="00BC58C4" w:rsidRPr="003E391B">
        <w:rPr>
          <w:rFonts w:ascii="Times New Roman" w:hAnsi="Times New Roman" w:cs="Times New Roman"/>
          <w:sz w:val="20"/>
          <w:szCs w:val="20"/>
        </w:rPr>
        <w:t>La segunda estrategia</w:t>
      </w:r>
      <w:r w:rsidR="008C3315" w:rsidRPr="003E391B">
        <w:rPr>
          <w:rFonts w:ascii="Times New Roman" w:hAnsi="Times New Roman" w:cs="Times New Roman"/>
          <w:sz w:val="20"/>
          <w:szCs w:val="20"/>
        </w:rPr>
        <w:t xml:space="preserve"> consistió</w:t>
      </w:r>
      <w:r w:rsidR="003217AD" w:rsidRPr="003E391B">
        <w:rPr>
          <w:rFonts w:ascii="Times New Roman" w:hAnsi="Times New Roman" w:cs="Times New Roman"/>
          <w:sz w:val="20"/>
          <w:szCs w:val="20"/>
        </w:rPr>
        <w:t xml:space="preserve"> en </w:t>
      </w:r>
      <w:r w:rsidR="008F46A4" w:rsidRPr="003E391B">
        <w:rPr>
          <w:rFonts w:ascii="Times New Roman" w:hAnsi="Times New Roman" w:cs="Times New Roman"/>
          <w:sz w:val="20"/>
          <w:szCs w:val="20"/>
        </w:rPr>
        <w:t xml:space="preserve">un proceso de aproximación gradual </w:t>
      </w:r>
      <w:r w:rsidR="000E2DEF" w:rsidRPr="003E391B">
        <w:rPr>
          <w:rFonts w:ascii="Times New Roman" w:hAnsi="Times New Roman" w:cs="Times New Roman"/>
          <w:sz w:val="20"/>
          <w:szCs w:val="20"/>
        </w:rPr>
        <w:t>a través del tiempo, que permite que las TTM de las</w:t>
      </w:r>
      <w:r w:rsidR="008F46A4" w:rsidRPr="003E391B">
        <w:rPr>
          <w:rFonts w:ascii="Times New Roman" w:hAnsi="Times New Roman" w:cs="Times New Roman"/>
          <w:sz w:val="20"/>
          <w:szCs w:val="20"/>
        </w:rPr>
        <w:t xml:space="preserve"> empresa</w:t>
      </w:r>
      <w:r w:rsidR="000E2DEF" w:rsidRPr="003E391B">
        <w:rPr>
          <w:rFonts w:ascii="Times New Roman" w:hAnsi="Times New Roman" w:cs="Times New Roman"/>
          <w:sz w:val="20"/>
          <w:szCs w:val="20"/>
        </w:rPr>
        <w:t>s</w:t>
      </w:r>
      <w:r w:rsidR="008F46A4" w:rsidRPr="003E391B">
        <w:rPr>
          <w:rFonts w:ascii="Times New Roman" w:hAnsi="Times New Roman" w:cs="Times New Roman"/>
          <w:sz w:val="20"/>
          <w:szCs w:val="20"/>
        </w:rPr>
        <w:t xml:space="preserve"> </w:t>
      </w:r>
      <w:r w:rsidR="000E2DEF" w:rsidRPr="003E391B">
        <w:rPr>
          <w:rFonts w:ascii="Times New Roman" w:hAnsi="Times New Roman" w:cs="Times New Roman"/>
          <w:sz w:val="20"/>
          <w:szCs w:val="20"/>
        </w:rPr>
        <w:t xml:space="preserve">entrantes </w:t>
      </w:r>
      <w:r w:rsidR="00510614" w:rsidRPr="003E391B">
        <w:rPr>
          <w:rFonts w:ascii="Times New Roman" w:hAnsi="Times New Roman" w:cs="Times New Roman"/>
          <w:sz w:val="20"/>
          <w:szCs w:val="20"/>
        </w:rPr>
        <w:t>converjan</w:t>
      </w:r>
      <w:r w:rsidR="00A043F9" w:rsidRPr="003E391B">
        <w:rPr>
          <w:rFonts w:ascii="Times New Roman" w:hAnsi="Times New Roman" w:cs="Times New Roman"/>
          <w:sz w:val="20"/>
          <w:szCs w:val="20"/>
        </w:rPr>
        <w:t xml:space="preserve"> gradualmente </w:t>
      </w:r>
      <w:r w:rsidR="000E2DEF" w:rsidRPr="003E391B">
        <w:rPr>
          <w:rFonts w:ascii="Times New Roman" w:hAnsi="Times New Roman" w:cs="Times New Roman"/>
          <w:sz w:val="20"/>
          <w:szCs w:val="20"/>
        </w:rPr>
        <w:t>a costos eficientes</w:t>
      </w:r>
      <w:r w:rsidR="00CE549B" w:rsidRPr="003E391B">
        <w:rPr>
          <w:rStyle w:val="Refdenotaalpie"/>
          <w:rFonts w:ascii="Times New Roman" w:hAnsi="Times New Roman" w:cs="Times New Roman"/>
          <w:sz w:val="20"/>
          <w:szCs w:val="20"/>
        </w:rPr>
        <w:footnoteReference w:id="2"/>
      </w:r>
      <w:r w:rsidR="00510614" w:rsidRPr="003E391B">
        <w:rPr>
          <w:rFonts w:ascii="Times New Roman" w:hAnsi="Times New Roman" w:cs="Times New Roman"/>
          <w:sz w:val="20"/>
          <w:szCs w:val="20"/>
        </w:rPr>
        <w:t>, igualándose así a la</w:t>
      </w:r>
      <w:r w:rsidR="00BC58C4" w:rsidRPr="003E391B">
        <w:rPr>
          <w:rFonts w:ascii="Times New Roman" w:hAnsi="Times New Roman" w:cs="Times New Roman"/>
          <w:sz w:val="20"/>
          <w:szCs w:val="20"/>
        </w:rPr>
        <w:t xml:space="preserve"> TTM que cobra el </w:t>
      </w:r>
      <w:r w:rsidR="000C0221" w:rsidRPr="003E391B">
        <w:rPr>
          <w:rFonts w:ascii="Times New Roman" w:hAnsi="Times New Roman" w:cs="Times New Roman"/>
          <w:sz w:val="20"/>
          <w:szCs w:val="20"/>
        </w:rPr>
        <w:t>preponderante</w:t>
      </w:r>
      <w:r w:rsidR="00BC58C4" w:rsidRPr="003E391B">
        <w:rPr>
          <w:rFonts w:ascii="Times New Roman" w:hAnsi="Times New Roman" w:cs="Times New Roman"/>
          <w:sz w:val="20"/>
          <w:szCs w:val="20"/>
        </w:rPr>
        <w:t xml:space="preserve">. </w:t>
      </w:r>
      <w:r w:rsidR="00435234" w:rsidRPr="003E391B">
        <w:rPr>
          <w:rFonts w:ascii="Times New Roman" w:hAnsi="Times New Roman" w:cs="Times New Roman"/>
          <w:sz w:val="20"/>
          <w:szCs w:val="20"/>
        </w:rPr>
        <w:t xml:space="preserve"> Así, paulatina</w:t>
      </w:r>
      <w:r w:rsidR="00510614" w:rsidRPr="003E391B">
        <w:rPr>
          <w:rFonts w:ascii="Times New Roman" w:hAnsi="Times New Roman" w:cs="Times New Roman"/>
          <w:sz w:val="20"/>
          <w:szCs w:val="20"/>
        </w:rPr>
        <w:t>mente</w:t>
      </w:r>
      <w:r w:rsidR="000E2DEF" w:rsidRPr="003E391B">
        <w:rPr>
          <w:rFonts w:ascii="Times New Roman" w:hAnsi="Times New Roman" w:cs="Times New Roman"/>
          <w:sz w:val="20"/>
          <w:szCs w:val="20"/>
        </w:rPr>
        <w:t xml:space="preserve"> se elimina la asimetría y se restablece un nivel eficiente en el mercado mayorista. </w:t>
      </w:r>
      <w:r w:rsidR="008F46A4" w:rsidRPr="003E391B">
        <w:rPr>
          <w:rFonts w:ascii="Times New Roman" w:hAnsi="Times New Roman" w:cs="Times New Roman"/>
          <w:sz w:val="20"/>
          <w:szCs w:val="20"/>
        </w:rPr>
        <w:t>El esquema</w:t>
      </w:r>
      <w:r w:rsidR="000E2DEF" w:rsidRPr="003E391B">
        <w:rPr>
          <w:rFonts w:ascii="Times New Roman" w:hAnsi="Times New Roman" w:cs="Times New Roman"/>
          <w:sz w:val="20"/>
          <w:szCs w:val="20"/>
        </w:rPr>
        <w:t xml:space="preserve"> europeo </w:t>
      </w:r>
      <w:r w:rsidR="008418DA" w:rsidRPr="003E391B">
        <w:rPr>
          <w:rFonts w:ascii="Times New Roman" w:hAnsi="Times New Roman" w:cs="Times New Roman"/>
          <w:sz w:val="20"/>
          <w:szCs w:val="20"/>
        </w:rPr>
        <w:t>previó</w:t>
      </w:r>
      <w:r w:rsidR="008F46A4" w:rsidRPr="003E391B">
        <w:rPr>
          <w:rFonts w:ascii="Times New Roman" w:hAnsi="Times New Roman" w:cs="Times New Roman"/>
          <w:sz w:val="20"/>
          <w:szCs w:val="20"/>
        </w:rPr>
        <w:t xml:space="preserve"> </w:t>
      </w:r>
      <w:r w:rsidR="000E2DEF" w:rsidRPr="003E391B">
        <w:rPr>
          <w:rFonts w:ascii="Times New Roman" w:hAnsi="Times New Roman" w:cs="Times New Roman"/>
          <w:sz w:val="20"/>
          <w:szCs w:val="20"/>
        </w:rPr>
        <w:t>también la asimetría en</w:t>
      </w:r>
      <w:r w:rsidR="00510614" w:rsidRPr="003E391B">
        <w:rPr>
          <w:rFonts w:ascii="Times New Roman" w:hAnsi="Times New Roman" w:cs="Times New Roman"/>
          <w:sz w:val="20"/>
          <w:szCs w:val="20"/>
        </w:rPr>
        <w:t>tre</w:t>
      </w:r>
      <w:r w:rsidR="000E2DEF" w:rsidRPr="003E391B">
        <w:rPr>
          <w:rFonts w:ascii="Times New Roman" w:hAnsi="Times New Roman" w:cs="Times New Roman"/>
          <w:sz w:val="20"/>
          <w:szCs w:val="20"/>
        </w:rPr>
        <w:t xml:space="preserve"> los cobros de terminación entre tráfico móvil y fijo, así como </w:t>
      </w:r>
      <w:r w:rsidR="00DD0410" w:rsidRPr="003E391B">
        <w:rPr>
          <w:rFonts w:ascii="Times New Roman" w:hAnsi="Times New Roman" w:cs="Times New Roman"/>
          <w:sz w:val="20"/>
          <w:szCs w:val="20"/>
        </w:rPr>
        <w:t>la reducción gradual de</w:t>
      </w:r>
      <w:r w:rsidR="000E2DEF" w:rsidRPr="003E391B">
        <w:rPr>
          <w:rFonts w:ascii="Times New Roman" w:hAnsi="Times New Roman" w:cs="Times New Roman"/>
          <w:sz w:val="20"/>
          <w:szCs w:val="20"/>
        </w:rPr>
        <w:t xml:space="preserve"> ese </w:t>
      </w:r>
      <w:r w:rsidR="00CD5A88" w:rsidRPr="003E391B">
        <w:rPr>
          <w:rFonts w:ascii="Times New Roman" w:hAnsi="Times New Roman" w:cs="Times New Roman"/>
          <w:sz w:val="20"/>
          <w:szCs w:val="20"/>
        </w:rPr>
        <w:t xml:space="preserve">trato asimétrico </w:t>
      </w:r>
      <w:r w:rsidR="000E2DEF" w:rsidRPr="003E391B">
        <w:rPr>
          <w:rFonts w:ascii="Times New Roman" w:hAnsi="Times New Roman" w:cs="Times New Roman"/>
          <w:sz w:val="20"/>
          <w:szCs w:val="20"/>
        </w:rPr>
        <w:t xml:space="preserve">entre las redes. Este aspecto es materia de otra línea de análisis que no </w:t>
      </w:r>
      <w:r w:rsidR="00E45FCB" w:rsidRPr="003E391B">
        <w:rPr>
          <w:rFonts w:ascii="Times New Roman" w:hAnsi="Times New Roman" w:cs="Times New Roman"/>
          <w:sz w:val="20"/>
          <w:szCs w:val="20"/>
        </w:rPr>
        <w:t>se cubre</w:t>
      </w:r>
      <w:r w:rsidR="000E2DEF" w:rsidRPr="003E391B">
        <w:rPr>
          <w:rFonts w:ascii="Times New Roman" w:hAnsi="Times New Roman" w:cs="Times New Roman"/>
          <w:sz w:val="20"/>
          <w:szCs w:val="20"/>
        </w:rPr>
        <w:t xml:space="preserve"> en este estudio. </w:t>
      </w:r>
    </w:p>
    <w:p w:rsidR="000E2DEF" w:rsidRPr="003E391B" w:rsidRDefault="000E2DEF" w:rsidP="00F648AB">
      <w:pPr>
        <w:spacing w:after="0" w:line="360" w:lineRule="auto"/>
        <w:jc w:val="both"/>
        <w:rPr>
          <w:rFonts w:ascii="Times New Roman" w:hAnsi="Times New Roman" w:cs="Times New Roman"/>
          <w:sz w:val="20"/>
          <w:szCs w:val="20"/>
        </w:rPr>
      </w:pPr>
    </w:p>
    <w:p w:rsidR="00F46AEB" w:rsidRPr="003E391B" w:rsidRDefault="00CE549B" w:rsidP="00C36258">
      <w:pPr>
        <w:spacing w:after="0" w:line="240" w:lineRule="auto"/>
        <w:jc w:val="both"/>
        <w:rPr>
          <w:rFonts w:ascii="Times New Roman" w:hAnsi="Times New Roman" w:cs="Times New Roman"/>
          <w:sz w:val="20"/>
          <w:szCs w:val="20"/>
        </w:rPr>
      </w:pPr>
      <w:r w:rsidRPr="003E391B">
        <w:rPr>
          <w:rFonts w:ascii="Times New Roman" w:hAnsi="Times New Roman" w:cs="Times New Roman"/>
          <w:sz w:val="20"/>
          <w:szCs w:val="20"/>
        </w:rPr>
        <w:t>L</w:t>
      </w:r>
      <w:r w:rsidR="00FC3BA0" w:rsidRPr="003E391B">
        <w:rPr>
          <w:rFonts w:ascii="Times New Roman" w:hAnsi="Times New Roman" w:cs="Times New Roman"/>
          <w:sz w:val="20"/>
          <w:szCs w:val="20"/>
        </w:rPr>
        <w:t xml:space="preserve">a aplicación de </w:t>
      </w:r>
      <w:r w:rsidR="008C3315" w:rsidRPr="003E391B">
        <w:rPr>
          <w:rFonts w:ascii="Times New Roman" w:hAnsi="Times New Roman" w:cs="Times New Roman"/>
          <w:sz w:val="20"/>
          <w:szCs w:val="20"/>
        </w:rPr>
        <w:t>l</w:t>
      </w:r>
      <w:r w:rsidR="008F46A4" w:rsidRPr="003E391B">
        <w:rPr>
          <w:rFonts w:ascii="Times New Roman" w:hAnsi="Times New Roman" w:cs="Times New Roman"/>
          <w:sz w:val="20"/>
          <w:szCs w:val="20"/>
        </w:rPr>
        <w:t xml:space="preserve">a asimetría </w:t>
      </w:r>
      <w:r w:rsidR="00F46AEB" w:rsidRPr="003E391B">
        <w:rPr>
          <w:rFonts w:ascii="Times New Roman" w:hAnsi="Times New Roman" w:cs="Times New Roman"/>
          <w:sz w:val="20"/>
          <w:szCs w:val="20"/>
        </w:rPr>
        <w:t>en las TTM</w:t>
      </w:r>
      <w:r w:rsidRPr="003E391B">
        <w:rPr>
          <w:rFonts w:ascii="Times New Roman" w:hAnsi="Times New Roman" w:cs="Times New Roman"/>
          <w:sz w:val="20"/>
          <w:szCs w:val="20"/>
        </w:rPr>
        <w:t xml:space="preserve"> busca </w:t>
      </w:r>
      <w:r w:rsidR="00F46AEB" w:rsidRPr="003E391B">
        <w:rPr>
          <w:rFonts w:ascii="Times New Roman" w:hAnsi="Times New Roman" w:cs="Times New Roman"/>
          <w:sz w:val="20"/>
          <w:szCs w:val="20"/>
        </w:rPr>
        <w:t xml:space="preserve">reducir la ventaja competitiva del </w:t>
      </w:r>
      <w:r w:rsidR="0087619C" w:rsidRPr="003E391B">
        <w:rPr>
          <w:rFonts w:ascii="Times New Roman" w:hAnsi="Times New Roman" w:cs="Times New Roman"/>
          <w:sz w:val="20"/>
          <w:szCs w:val="20"/>
        </w:rPr>
        <w:t xml:space="preserve"> </w:t>
      </w:r>
      <w:r w:rsidR="00AD4395">
        <w:rPr>
          <w:rFonts w:ascii="Times New Roman" w:hAnsi="Times New Roman" w:cs="Times New Roman"/>
          <w:sz w:val="20"/>
          <w:szCs w:val="20"/>
        </w:rPr>
        <w:t xml:space="preserve">operador </w:t>
      </w:r>
      <w:r w:rsidR="000C0221" w:rsidRPr="003E391B">
        <w:rPr>
          <w:rFonts w:ascii="Times New Roman" w:hAnsi="Times New Roman" w:cs="Times New Roman"/>
          <w:sz w:val="20"/>
          <w:szCs w:val="20"/>
        </w:rPr>
        <w:t>preponderante</w:t>
      </w:r>
      <w:r w:rsidR="0087619C" w:rsidRPr="003E391B">
        <w:rPr>
          <w:rFonts w:ascii="Times New Roman" w:hAnsi="Times New Roman" w:cs="Times New Roman"/>
          <w:sz w:val="20"/>
          <w:szCs w:val="20"/>
        </w:rPr>
        <w:t xml:space="preserve"> </w:t>
      </w:r>
      <w:r w:rsidR="00F46AEB" w:rsidRPr="003E391B">
        <w:rPr>
          <w:rFonts w:ascii="Times New Roman" w:hAnsi="Times New Roman" w:cs="Times New Roman"/>
          <w:sz w:val="20"/>
          <w:szCs w:val="20"/>
        </w:rPr>
        <w:t xml:space="preserve">y proteger e </w:t>
      </w:r>
      <w:r w:rsidR="00C56294" w:rsidRPr="003E391B">
        <w:rPr>
          <w:rFonts w:ascii="Times New Roman" w:hAnsi="Times New Roman" w:cs="Times New Roman"/>
          <w:sz w:val="20"/>
          <w:szCs w:val="20"/>
        </w:rPr>
        <w:t xml:space="preserve">incentivar a </w:t>
      </w:r>
      <w:r w:rsidR="00435234" w:rsidRPr="003E391B">
        <w:rPr>
          <w:rFonts w:ascii="Times New Roman" w:hAnsi="Times New Roman" w:cs="Times New Roman"/>
          <w:sz w:val="20"/>
          <w:szCs w:val="20"/>
        </w:rPr>
        <w:t xml:space="preserve">los </w:t>
      </w:r>
      <w:r w:rsidR="00C56294" w:rsidRPr="003E391B">
        <w:rPr>
          <w:rFonts w:ascii="Times New Roman" w:hAnsi="Times New Roman" w:cs="Times New Roman"/>
          <w:sz w:val="20"/>
          <w:szCs w:val="20"/>
        </w:rPr>
        <w:t>nuevos entrantes. Específicamente, s</w:t>
      </w:r>
      <w:r w:rsidR="00F46AEB" w:rsidRPr="003E391B">
        <w:rPr>
          <w:rFonts w:ascii="Times New Roman" w:hAnsi="Times New Roman" w:cs="Times New Roman"/>
          <w:sz w:val="20"/>
          <w:szCs w:val="20"/>
        </w:rPr>
        <w:t xml:space="preserve">e busca </w:t>
      </w:r>
      <w:r w:rsidRPr="003E391B">
        <w:rPr>
          <w:rFonts w:ascii="Times New Roman" w:hAnsi="Times New Roman" w:cs="Times New Roman"/>
          <w:sz w:val="20"/>
          <w:szCs w:val="20"/>
        </w:rPr>
        <w:t>fortalecer los ingresos por la venta de servicios mayoristas</w:t>
      </w:r>
      <w:r w:rsidRPr="003E391B">
        <w:rPr>
          <w:rStyle w:val="Refdenotaalpie"/>
          <w:rFonts w:ascii="Times New Roman" w:hAnsi="Times New Roman" w:cs="Times New Roman"/>
          <w:sz w:val="20"/>
          <w:szCs w:val="20"/>
        </w:rPr>
        <w:footnoteReference w:id="3"/>
      </w:r>
      <w:r w:rsidR="00435234" w:rsidRPr="003E391B">
        <w:rPr>
          <w:rFonts w:ascii="Times New Roman" w:hAnsi="Times New Roman" w:cs="Times New Roman"/>
          <w:sz w:val="20"/>
          <w:szCs w:val="20"/>
        </w:rPr>
        <w:t>,</w:t>
      </w:r>
      <w:r w:rsidRPr="003E391B">
        <w:rPr>
          <w:rFonts w:ascii="Times New Roman" w:hAnsi="Times New Roman" w:cs="Times New Roman"/>
          <w:sz w:val="20"/>
          <w:szCs w:val="20"/>
        </w:rPr>
        <w:t xml:space="preserve"> </w:t>
      </w:r>
      <w:r w:rsidR="00C56294" w:rsidRPr="003E391B">
        <w:rPr>
          <w:rFonts w:ascii="Times New Roman" w:hAnsi="Times New Roman" w:cs="Times New Roman"/>
          <w:sz w:val="20"/>
          <w:szCs w:val="20"/>
        </w:rPr>
        <w:t xml:space="preserve">lo que tendría un doble efecto: incrementar las utilidades de los entrantes y </w:t>
      </w:r>
      <w:r w:rsidR="00F46AEB" w:rsidRPr="003E391B">
        <w:rPr>
          <w:rFonts w:ascii="Times New Roman" w:hAnsi="Times New Roman" w:cs="Times New Roman"/>
          <w:sz w:val="20"/>
          <w:szCs w:val="20"/>
        </w:rPr>
        <w:t>promover</w:t>
      </w:r>
      <w:r w:rsidR="0087619C" w:rsidRPr="003E391B">
        <w:rPr>
          <w:rFonts w:ascii="Times New Roman" w:hAnsi="Times New Roman" w:cs="Times New Roman"/>
          <w:sz w:val="20"/>
          <w:szCs w:val="20"/>
        </w:rPr>
        <w:t xml:space="preserve"> así</w:t>
      </w:r>
      <w:r w:rsidR="00F46AEB" w:rsidRPr="003E391B">
        <w:rPr>
          <w:rFonts w:ascii="Times New Roman" w:hAnsi="Times New Roman" w:cs="Times New Roman"/>
          <w:sz w:val="20"/>
          <w:szCs w:val="20"/>
        </w:rPr>
        <w:t xml:space="preserve"> un entorno </w:t>
      </w:r>
      <w:r w:rsidR="00235A09" w:rsidRPr="003E391B">
        <w:rPr>
          <w:rFonts w:ascii="Times New Roman" w:hAnsi="Times New Roman" w:cs="Times New Roman"/>
          <w:sz w:val="20"/>
          <w:szCs w:val="20"/>
        </w:rPr>
        <w:t xml:space="preserve">favorable a </w:t>
      </w:r>
      <w:r w:rsidR="0087619C" w:rsidRPr="003E391B">
        <w:rPr>
          <w:rFonts w:ascii="Times New Roman" w:hAnsi="Times New Roman" w:cs="Times New Roman"/>
          <w:sz w:val="20"/>
          <w:szCs w:val="20"/>
        </w:rPr>
        <w:t xml:space="preserve">la entrada de nuevos operadores, </w:t>
      </w:r>
      <w:r w:rsidR="00235A09" w:rsidRPr="003E391B">
        <w:rPr>
          <w:rFonts w:ascii="Times New Roman" w:hAnsi="Times New Roman" w:cs="Times New Roman"/>
          <w:sz w:val="20"/>
          <w:szCs w:val="20"/>
        </w:rPr>
        <w:t xml:space="preserve">y que </w:t>
      </w:r>
      <w:r w:rsidR="00F46AEB" w:rsidRPr="003E391B">
        <w:rPr>
          <w:rFonts w:ascii="Times New Roman" w:hAnsi="Times New Roman" w:cs="Times New Roman"/>
          <w:sz w:val="20"/>
          <w:szCs w:val="20"/>
        </w:rPr>
        <w:t xml:space="preserve">consolide la competencia en el </w:t>
      </w:r>
      <w:r w:rsidR="0087619C" w:rsidRPr="003E391B">
        <w:rPr>
          <w:rFonts w:ascii="Times New Roman" w:hAnsi="Times New Roman" w:cs="Times New Roman"/>
          <w:sz w:val="20"/>
          <w:szCs w:val="20"/>
        </w:rPr>
        <w:t>mercado móvil en el largo pla</w:t>
      </w:r>
      <w:r w:rsidR="00C56294" w:rsidRPr="003E391B">
        <w:rPr>
          <w:rFonts w:ascii="Times New Roman" w:hAnsi="Times New Roman" w:cs="Times New Roman"/>
          <w:sz w:val="20"/>
          <w:szCs w:val="20"/>
        </w:rPr>
        <w:t>zo; y</w:t>
      </w:r>
      <w:r w:rsidR="0087619C" w:rsidRPr="003E391B">
        <w:rPr>
          <w:rFonts w:ascii="Times New Roman" w:hAnsi="Times New Roman" w:cs="Times New Roman"/>
          <w:sz w:val="20"/>
          <w:szCs w:val="20"/>
        </w:rPr>
        <w:t xml:space="preserve"> al mismo tiempo</w:t>
      </w:r>
      <w:r w:rsidR="00FA73CD" w:rsidRPr="003E391B">
        <w:rPr>
          <w:rFonts w:ascii="Times New Roman" w:hAnsi="Times New Roman" w:cs="Times New Roman"/>
          <w:sz w:val="20"/>
          <w:szCs w:val="20"/>
        </w:rPr>
        <w:t>,</w:t>
      </w:r>
      <w:r w:rsidR="0087619C" w:rsidRPr="003E391B">
        <w:rPr>
          <w:rFonts w:ascii="Times New Roman" w:hAnsi="Times New Roman" w:cs="Times New Roman"/>
          <w:sz w:val="20"/>
          <w:szCs w:val="20"/>
        </w:rPr>
        <w:t xml:space="preserve"> que </w:t>
      </w:r>
      <w:r w:rsidR="00235A09" w:rsidRPr="003E391B">
        <w:rPr>
          <w:rFonts w:ascii="Times New Roman" w:hAnsi="Times New Roman" w:cs="Times New Roman"/>
          <w:sz w:val="20"/>
          <w:szCs w:val="20"/>
        </w:rPr>
        <w:t>promueva la reducción de</w:t>
      </w:r>
      <w:r w:rsidR="00C56294" w:rsidRPr="003E391B">
        <w:rPr>
          <w:rFonts w:ascii="Times New Roman" w:hAnsi="Times New Roman" w:cs="Times New Roman"/>
          <w:sz w:val="20"/>
          <w:szCs w:val="20"/>
        </w:rPr>
        <w:t xml:space="preserve"> los</w:t>
      </w:r>
      <w:r w:rsidR="0087619C" w:rsidRPr="003E391B">
        <w:rPr>
          <w:rFonts w:ascii="Times New Roman" w:hAnsi="Times New Roman" w:cs="Times New Roman"/>
          <w:sz w:val="20"/>
          <w:szCs w:val="20"/>
        </w:rPr>
        <w:t xml:space="preserve"> precios al consumidor final.</w:t>
      </w:r>
      <w:r w:rsidR="00F46AEB" w:rsidRPr="003E391B">
        <w:rPr>
          <w:rFonts w:ascii="Times New Roman" w:hAnsi="Times New Roman" w:cs="Times New Roman"/>
          <w:sz w:val="20"/>
          <w:szCs w:val="20"/>
        </w:rPr>
        <w:t xml:space="preserve"> </w:t>
      </w:r>
    </w:p>
    <w:p w:rsidR="00C763A1" w:rsidRPr="003E391B" w:rsidRDefault="00C763A1" w:rsidP="00C36258">
      <w:pPr>
        <w:spacing w:after="0" w:line="240" w:lineRule="auto"/>
        <w:jc w:val="both"/>
        <w:rPr>
          <w:rFonts w:ascii="Times New Roman" w:hAnsi="Times New Roman" w:cs="Times New Roman"/>
          <w:sz w:val="20"/>
          <w:szCs w:val="20"/>
        </w:rPr>
      </w:pPr>
    </w:p>
    <w:p w:rsidR="000F0D54" w:rsidRPr="003E391B" w:rsidRDefault="0087619C" w:rsidP="0082577A">
      <w:pPr>
        <w:spacing w:after="0" w:line="240" w:lineRule="auto"/>
        <w:jc w:val="both"/>
        <w:rPr>
          <w:rFonts w:ascii="Times New Roman" w:hAnsi="Times New Roman" w:cs="Times New Roman"/>
        </w:rPr>
      </w:pPr>
      <w:r w:rsidRPr="003E391B">
        <w:rPr>
          <w:rFonts w:ascii="Times New Roman" w:hAnsi="Times New Roman" w:cs="Times New Roman"/>
          <w:sz w:val="20"/>
          <w:szCs w:val="20"/>
        </w:rPr>
        <w:t>Este tipo de esquemas ha sido analizado</w:t>
      </w:r>
      <w:r w:rsidR="005A1F3A" w:rsidRPr="003E391B">
        <w:rPr>
          <w:rFonts w:ascii="Times New Roman" w:hAnsi="Times New Roman" w:cs="Times New Roman"/>
          <w:sz w:val="20"/>
          <w:szCs w:val="20"/>
        </w:rPr>
        <w:t xml:space="preserve"> por diversos autores. Para fines de este estudio destaca</w:t>
      </w:r>
      <w:r w:rsidR="00CE549B" w:rsidRPr="003E391B">
        <w:rPr>
          <w:rFonts w:ascii="Times New Roman" w:hAnsi="Times New Roman" w:cs="Times New Roman"/>
          <w:sz w:val="20"/>
          <w:szCs w:val="20"/>
        </w:rPr>
        <w:t>n los</w:t>
      </w:r>
      <w:r w:rsidR="005A1F3A" w:rsidRPr="003E391B">
        <w:rPr>
          <w:rFonts w:ascii="Times New Roman" w:hAnsi="Times New Roman" w:cs="Times New Roman"/>
          <w:sz w:val="20"/>
          <w:szCs w:val="20"/>
        </w:rPr>
        <w:t xml:space="preserve"> planteamiento</w:t>
      </w:r>
      <w:r w:rsidR="00CE549B" w:rsidRPr="003E391B">
        <w:rPr>
          <w:rFonts w:ascii="Times New Roman" w:hAnsi="Times New Roman" w:cs="Times New Roman"/>
          <w:sz w:val="20"/>
          <w:szCs w:val="20"/>
        </w:rPr>
        <w:t>s</w:t>
      </w:r>
      <w:r w:rsidR="005A1F3A" w:rsidRPr="003E391B">
        <w:rPr>
          <w:rFonts w:ascii="Times New Roman" w:hAnsi="Times New Roman" w:cs="Times New Roman"/>
          <w:sz w:val="20"/>
          <w:szCs w:val="20"/>
        </w:rPr>
        <w:t xml:space="preserve"> teórico</w:t>
      </w:r>
      <w:r w:rsidR="00CE549B" w:rsidRPr="003E391B">
        <w:rPr>
          <w:rFonts w:ascii="Times New Roman" w:hAnsi="Times New Roman" w:cs="Times New Roman"/>
          <w:sz w:val="20"/>
          <w:szCs w:val="20"/>
        </w:rPr>
        <w:t>s</w:t>
      </w:r>
      <w:r w:rsidR="005A1F3A" w:rsidRPr="003E391B">
        <w:rPr>
          <w:rFonts w:ascii="Times New Roman" w:hAnsi="Times New Roman" w:cs="Times New Roman"/>
          <w:sz w:val="20"/>
          <w:szCs w:val="20"/>
        </w:rPr>
        <w:t xml:space="preserve"> de  Martin </w:t>
      </w:r>
      <w:proofErr w:type="spellStart"/>
      <w:r w:rsidR="005A1F3A" w:rsidRPr="003E391B">
        <w:rPr>
          <w:rFonts w:ascii="Times New Roman" w:hAnsi="Times New Roman" w:cs="Times New Roman"/>
          <w:sz w:val="20"/>
          <w:szCs w:val="20"/>
        </w:rPr>
        <w:t>Peitz</w:t>
      </w:r>
      <w:proofErr w:type="spellEnd"/>
      <w:r w:rsidR="008F46A4" w:rsidRPr="003E391B">
        <w:rPr>
          <w:rFonts w:ascii="Times New Roman" w:hAnsi="Times New Roman" w:cs="Times New Roman"/>
          <w:sz w:val="20"/>
          <w:szCs w:val="20"/>
        </w:rPr>
        <w:t xml:space="preserve"> (</w:t>
      </w:r>
      <w:r w:rsidR="000756FE" w:rsidRPr="003E391B">
        <w:rPr>
          <w:rFonts w:ascii="Times New Roman" w:hAnsi="Times New Roman" w:cs="Times New Roman"/>
          <w:sz w:val="20"/>
          <w:szCs w:val="20"/>
        </w:rPr>
        <w:t>2005a</w:t>
      </w:r>
      <w:r w:rsidR="0048202C" w:rsidRPr="003E391B">
        <w:rPr>
          <w:rFonts w:ascii="Times New Roman" w:hAnsi="Times New Roman" w:cs="Times New Roman"/>
          <w:sz w:val="20"/>
          <w:szCs w:val="20"/>
        </w:rPr>
        <w:t xml:space="preserve"> y 2005</w:t>
      </w:r>
      <w:r w:rsidR="000756FE" w:rsidRPr="003E391B">
        <w:rPr>
          <w:rFonts w:ascii="Times New Roman" w:hAnsi="Times New Roman" w:cs="Times New Roman"/>
          <w:sz w:val="20"/>
          <w:szCs w:val="20"/>
        </w:rPr>
        <w:t>b</w:t>
      </w:r>
      <w:r w:rsidR="008F46A4" w:rsidRPr="003E391B">
        <w:rPr>
          <w:rFonts w:ascii="Times New Roman" w:hAnsi="Times New Roman" w:cs="Times New Roman"/>
          <w:sz w:val="20"/>
          <w:szCs w:val="20"/>
        </w:rPr>
        <w:t>)</w:t>
      </w:r>
      <w:r w:rsidR="00CE549B" w:rsidRPr="003E391B">
        <w:rPr>
          <w:rFonts w:ascii="Times New Roman" w:hAnsi="Times New Roman" w:cs="Times New Roman"/>
          <w:sz w:val="20"/>
          <w:szCs w:val="20"/>
        </w:rPr>
        <w:t xml:space="preserve"> y de </w:t>
      </w:r>
      <w:proofErr w:type="spellStart"/>
      <w:r w:rsidR="00CE549B" w:rsidRPr="003E391B">
        <w:rPr>
          <w:rFonts w:ascii="Times New Roman" w:hAnsi="Times New Roman" w:cs="Times New Roman"/>
          <w:sz w:val="20"/>
          <w:szCs w:val="20"/>
        </w:rPr>
        <w:t>Baranes</w:t>
      </w:r>
      <w:proofErr w:type="spellEnd"/>
      <w:r w:rsidR="00CE549B" w:rsidRPr="003E391B">
        <w:rPr>
          <w:rFonts w:ascii="Times New Roman" w:hAnsi="Times New Roman" w:cs="Times New Roman"/>
          <w:sz w:val="20"/>
          <w:szCs w:val="20"/>
        </w:rPr>
        <w:t xml:space="preserve"> </w:t>
      </w:r>
      <w:r w:rsidR="00567A49" w:rsidRPr="003E391B">
        <w:rPr>
          <w:rFonts w:ascii="Times New Roman" w:hAnsi="Times New Roman" w:cs="Times New Roman"/>
          <w:sz w:val="20"/>
          <w:szCs w:val="20"/>
        </w:rPr>
        <w:t>e</w:t>
      </w:r>
      <w:r w:rsidR="00CE549B" w:rsidRPr="003E391B">
        <w:rPr>
          <w:rFonts w:ascii="Times New Roman" w:hAnsi="Times New Roman" w:cs="Times New Roman"/>
          <w:sz w:val="20"/>
          <w:szCs w:val="20"/>
        </w:rPr>
        <w:t>t al (2011</w:t>
      </w:r>
      <w:r w:rsidR="00B71AE9" w:rsidRPr="003E391B">
        <w:rPr>
          <w:rFonts w:ascii="Times New Roman" w:hAnsi="Times New Roman" w:cs="Times New Roman"/>
          <w:sz w:val="20"/>
          <w:szCs w:val="20"/>
        </w:rPr>
        <w:t xml:space="preserve"> a y b</w:t>
      </w:r>
      <w:r w:rsidR="00CE549B" w:rsidRPr="003E391B">
        <w:rPr>
          <w:rFonts w:ascii="Times New Roman" w:hAnsi="Times New Roman" w:cs="Times New Roman"/>
          <w:sz w:val="20"/>
          <w:szCs w:val="20"/>
        </w:rPr>
        <w:t>).</w:t>
      </w:r>
      <w:r w:rsidR="00C02E92" w:rsidRPr="003E391B">
        <w:rPr>
          <w:rFonts w:ascii="Times New Roman" w:hAnsi="Times New Roman" w:cs="Times New Roman"/>
          <w:sz w:val="20"/>
          <w:szCs w:val="20"/>
        </w:rPr>
        <w:t xml:space="preserve"> </w:t>
      </w:r>
      <w:proofErr w:type="spellStart"/>
      <w:r w:rsidR="00CE549B" w:rsidRPr="003E391B">
        <w:rPr>
          <w:rFonts w:ascii="Times New Roman" w:hAnsi="Times New Roman" w:cs="Times New Roman"/>
          <w:sz w:val="20"/>
          <w:szCs w:val="20"/>
        </w:rPr>
        <w:t>Peitz</w:t>
      </w:r>
      <w:proofErr w:type="spellEnd"/>
      <w:r w:rsidR="008F46A4" w:rsidRPr="003E391B">
        <w:rPr>
          <w:rFonts w:ascii="Times New Roman" w:hAnsi="Times New Roman" w:cs="Times New Roman"/>
          <w:sz w:val="20"/>
          <w:szCs w:val="20"/>
        </w:rPr>
        <w:t xml:space="preserve"> </w:t>
      </w:r>
      <w:r w:rsidR="000756FE" w:rsidRPr="003E391B">
        <w:rPr>
          <w:rFonts w:ascii="Times New Roman" w:hAnsi="Times New Roman" w:cs="Times New Roman"/>
          <w:sz w:val="20"/>
          <w:szCs w:val="20"/>
        </w:rPr>
        <w:t>(2005a</w:t>
      </w:r>
      <w:r w:rsidR="00567A49" w:rsidRPr="003E391B">
        <w:rPr>
          <w:rFonts w:ascii="Times New Roman" w:hAnsi="Times New Roman" w:cs="Times New Roman"/>
          <w:sz w:val="20"/>
          <w:szCs w:val="20"/>
        </w:rPr>
        <w:t xml:space="preserve">) </w:t>
      </w:r>
      <w:r w:rsidR="008F46A4" w:rsidRPr="003E391B">
        <w:rPr>
          <w:rFonts w:ascii="Times New Roman" w:hAnsi="Times New Roman" w:cs="Times New Roman"/>
          <w:sz w:val="20"/>
          <w:szCs w:val="20"/>
        </w:rPr>
        <w:t>evalúa</w:t>
      </w:r>
      <w:r w:rsidR="00435234" w:rsidRPr="003E391B">
        <w:rPr>
          <w:rFonts w:ascii="Times New Roman" w:hAnsi="Times New Roman" w:cs="Times New Roman"/>
          <w:sz w:val="20"/>
          <w:szCs w:val="20"/>
        </w:rPr>
        <w:t xml:space="preserve"> un m</w:t>
      </w:r>
      <w:r w:rsidR="005A1F3A" w:rsidRPr="003E391B">
        <w:rPr>
          <w:rFonts w:ascii="Times New Roman" w:hAnsi="Times New Roman" w:cs="Times New Roman"/>
          <w:sz w:val="20"/>
          <w:szCs w:val="20"/>
        </w:rPr>
        <w:t>odelo teórico de maximización de utilidades en un d</w:t>
      </w:r>
      <w:r w:rsidR="00FC3BA0" w:rsidRPr="003E391B">
        <w:rPr>
          <w:rFonts w:ascii="Times New Roman" w:hAnsi="Times New Roman" w:cs="Times New Roman"/>
          <w:sz w:val="20"/>
          <w:szCs w:val="20"/>
        </w:rPr>
        <w:t xml:space="preserve">uopolio </w:t>
      </w:r>
      <w:r w:rsidR="005A1F3A" w:rsidRPr="003E391B">
        <w:rPr>
          <w:rFonts w:ascii="Times New Roman" w:hAnsi="Times New Roman" w:cs="Times New Roman"/>
          <w:sz w:val="20"/>
          <w:szCs w:val="20"/>
        </w:rPr>
        <w:t xml:space="preserve">con la aplicación de tarifas diferenciales, donde la </w:t>
      </w:r>
      <w:r w:rsidR="00FA64C3" w:rsidRPr="003E391B">
        <w:rPr>
          <w:rFonts w:ascii="Times New Roman" w:hAnsi="Times New Roman" w:cs="Times New Roman"/>
          <w:sz w:val="20"/>
          <w:szCs w:val="20"/>
        </w:rPr>
        <w:t>TTM</w:t>
      </w:r>
      <w:r w:rsidR="00FC3BA0" w:rsidRPr="003E391B">
        <w:rPr>
          <w:rFonts w:ascii="Times New Roman" w:hAnsi="Times New Roman" w:cs="Times New Roman"/>
          <w:sz w:val="20"/>
          <w:szCs w:val="20"/>
        </w:rPr>
        <w:t xml:space="preserve"> que el</w:t>
      </w:r>
      <w:r w:rsidR="00B3208D" w:rsidRPr="003E391B">
        <w:rPr>
          <w:rFonts w:ascii="Times New Roman" w:hAnsi="Times New Roman" w:cs="Times New Roman"/>
          <w:sz w:val="20"/>
          <w:szCs w:val="20"/>
        </w:rPr>
        <w:t xml:space="preserve"> </w:t>
      </w:r>
      <w:r w:rsidR="00FC3BA0" w:rsidRPr="003E391B">
        <w:rPr>
          <w:rFonts w:ascii="Times New Roman" w:hAnsi="Times New Roman" w:cs="Times New Roman"/>
          <w:sz w:val="20"/>
          <w:szCs w:val="20"/>
        </w:rPr>
        <w:t xml:space="preserve">operador </w:t>
      </w:r>
      <w:r w:rsidR="000C0221" w:rsidRPr="003E391B">
        <w:rPr>
          <w:rFonts w:ascii="Times New Roman" w:hAnsi="Times New Roman" w:cs="Times New Roman"/>
          <w:sz w:val="20"/>
          <w:szCs w:val="20"/>
        </w:rPr>
        <w:t>preponderante</w:t>
      </w:r>
      <w:r w:rsidR="00FC3BA0" w:rsidRPr="003E391B">
        <w:rPr>
          <w:rFonts w:ascii="Times New Roman" w:hAnsi="Times New Roman" w:cs="Times New Roman"/>
          <w:sz w:val="20"/>
          <w:szCs w:val="20"/>
        </w:rPr>
        <w:t xml:space="preserve"> tiene que pagar es mayor </w:t>
      </w:r>
      <w:r w:rsidR="005A1F3A" w:rsidRPr="003E391B">
        <w:rPr>
          <w:rFonts w:ascii="Times New Roman" w:hAnsi="Times New Roman" w:cs="Times New Roman"/>
          <w:sz w:val="20"/>
          <w:szCs w:val="20"/>
        </w:rPr>
        <w:t xml:space="preserve">que la TTM </w:t>
      </w:r>
      <w:r w:rsidR="00C17442" w:rsidRPr="003E391B">
        <w:rPr>
          <w:rFonts w:ascii="Times New Roman" w:hAnsi="Times New Roman" w:cs="Times New Roman"/>
          <w:sz w:val="20"/>
          <w:szCs w:val="20"/>
        </w:rPr>
        <w:t xml:space="preserve">que enfrenta </w:t>
      </w:r>
      <w:r w:rsidRPr="003E391B">
        <w:rPr>
          <w:rFonts w:ascii="Times New Roman" w:hAnsi="Times New Roman" w:cs="Times New Roman"/>
          <w:sz w:val="20"/>
          <w:szCs w:val="20"/>
        </w:rPr>
        <w:t xml:space="preserve">el </w:t>
      </w:r>
      <w:r w:rsidR="005A1F3A" w:rsidRPr="003E391B">
        <w:rPr>
          <w:rFonts w:ascii="Times New Roman" w:hAnsi="Times New Roman" w:cs="Times New Roman"/>
          <w:sz w:val="20"/>
          <w:szCs w:val="20"/>
        </w:rPr>
        <w:t>entrante</w:t>
      </w:r>
      <w:r w:rsidR="00567A49" w:rsidRPr="003E391B">
        <w:rPr>
          <w:rFonts w:ascii="Times New Roman" w:hAnsi="Times New Roman" w:cs="Times New Roman"/>
          <w:sz w:val="20"/>
          <w:szCs w:val="20"/>
        </w:rPr>
        <w:t>. A este último se le autoriza a aplicar un margen sobre sus costos</w:t>
      </w:r>
      <w:r w:rsidR="00C17442" w:rsidRPr="003E391B">
        <w:rPr>
          <w:rFonts w:ascii="Times New Roman" w:hAnsi="Times New Roman" w:cs="Times New Roman"/>
          <w:sz w:val="20"/>
          <w:szCs w:val="20"/>
        </w:rPr>
        <w:t xml:space="preserve"> en las TTM</w:t>
      </w:r>
      <w:r w:rsidR="00567A49" w:rsidRPr="003E391B">
        <w:rPr>
          <w:rFonts w:ascii="Times New Roman" w:hAnsi="Times New Roman" w:cs="Times New Roman"/>
          <w:sz w:val="20"/>
          <w:szCs w:val="20"/>
        </w:rPr>
        <w:t>.</w:t>
      </w:r>
      <w:r w:rsidR="005A1F3A" w:rsidRPr="003E391B">
        <w:rPr>
          <w:rFonts w:ascii="Times New Roman" w:hAnsi="Times New Roman" w:cs="Times New Roman"/>
          <w:sz w:val="20"/>
          <w:szCs w:val="20"/>
        </w:rPr>
        <w:t xml:space="preserve"> </w:t>
      </w:r>
      <w:r w:rsidR="00FC3BA0" w:rsidRPr="003E391B">
        <w:rPr>
          <w:rFonts w:ascii="Times New Roman" w:hAnsi="Times New Roman" w:cs="Times New Roman"/>
          <w:sz w:val="20"/>
          <w:szCs w:val="20"/>
        </w:rPr>
        <w:t xml:space="preserve"> </w:t>
      </w:r>
      <w:r w:rsidR="00C30CCB" w:rsidRPr="003E391B">
        <w:rPr>
          <w:rFonts w:ascii="Times New Roman" w:hAnsi="Times New Roman" w:cs="Times New Roman"/>
          <w:sz w:val="20"/>
          <w:szCs w:val="20"/>
        </w:rPr>
        <w:t>Para el</w:t>
      </w:r>
      <w:r w:rsidR="00C30CCB" w:rsidRPr="007238F6">
        <w:rPr>
          <w:rFonts w:ascii="Times New Roman" w:hAnsi="Times New Roman" w:cs="Times New Roman"/>
          <w:sz w:val="24"/>
          <w:szCs w:val="24"/>
        </w:rPr>
        <w:t xml:space="preserve"> </w:t>
      </w:r>
      <w:r w:rsidR="00C30CCB" w:rsidRPr="003E391B">
        <w:rPr>
          <w:rFonts w:ascii="Times New Roman" w:hAnsi="Times New Roman" w:cs="Times New Roman"/>
          <w:sz w:val="20"/>
          <w:szCs w:val="20"/>
        </w:rPr>
        <w:t>desarrollo del modelo considera un mercado de servicios finales</w:t>
      </w:r>
      <w:r w:rsidR="00FA73CD" w:rsidRPr="003E391B">
        <w:rPr>
          <w:rFonts w:ascii="Times New Roman" w:hAnsi="Times New Roman" w:cs="Times New Roman"/>
          <w:sz w:val="20"/>
          <w:szCs w:val="20"/>
        </w:rPr>
        <w:t>,</w:t>
      </w:r>
      <w:r w:rsidR="00C30CCB" w:rsidRPr="003E391B">
        <w:rPr>
          <w:rFonts w:ascii="Times New Roman" w:hAnsi="Times New Roman" w:cs="Times New Roman"/>
          <w:sz w:val="20"/>
          <w:szCs w:val="20"/>
        </w:rPr>
        <w:t xml:space="preserve"> en el que el consumidor enfrenta un pago en dos partes</w:t>
      </w:r>
      <w:r w:rsidR="00567A49" w:rsidRPr="003E391B">
        <w:rPr>
          <w:rStyle w:val="Refdenotaalpie"/>
          <w:rFonts w:ascii="Times New Roman" w:hAnsi="Times New Roman" w:cs="Times New Roman"/>
          <w:sz w:val="20"/>
          <w:szCs w:val="20"/>
        </w:rPr>
        <w:footnoteReference w:id="4"/>
      </w:r>
      <w:r w:rsidR="00863334" w:rsidRPr="003E391B">
        <w:rPr>
          <w:rFonts w:ascii="Times New Roman" w:hAnsi="Times New Roman" w:cs="Times New Roman"/>
          <w:sz w:val="20"/>
          <w:szCs w:val="20"/>
        </w:rPr>
        <w:t>: una cuota fija o renta y un cargo variable por llamada.</w:t>
      </w:r>
      <w:r w:rsidR="00567A49" w:rsidRPr="003E391B">
        <w:rPr>
          <w:rFonts w:ascii="Times New Roman" w:hAnsi="Times New Roman" w:cs="Times New Roman"/>
          <w:sz w:val="20"/>
          <w:szCs w:val="20"/>
        </w:rPr>
        <w:t xml:space="preserve"> </w:t>
      </w:r>
      <w:r w:rsidR="00C30CCB" w:rsidRPr="003E391B">
        <w:rPr>
          <w:rFonts w:ascii="Times New Roman" w:hAnsi="Times New Roman" w:cs="Times New Roman"/>
          <w:sz w:val="20"/>
          <w:szCs w:val="20"/>
        </w:rPr>
        <w:t xml:space="preserve"> </w:t>
      </w:r>
      <w:r w:rsidR="00916A4F" w:rsidRPr="003E391B">
        <w:rPr>
          <w:rFonts w:ascii="Times New Roman" w:hAnsi="Times New Roman" w:cs="Times New Roman"/>
          <w:sz w:val="20"/>
          <w:szCs w:val="20"/>
        </w:rPr>
        <w:t xml:space="preserve">En </w:t>
      </w:r>
      <w:r w:rsidR="008C0E39" w:rsidRPr="003E391B">
        <w:rPr>
          <w:rFonts w:ascii="Times New Roman" w:hAnsi="Times New Roman" w:cs="Times New Roman"/>
          <w:bCs/>
          <w:sz w:val="20"/>
          <w:szCs w:val="20"/>
        </w:rPr>
        <w:t xml:space="preserve">un modelo posterior, </w:t>
      </w:r>
      <w:proofErr w:type="spellStart"/>
      <w:r w:rsidR="00916A4F" w:rsidRPr="003E391B">
        <w:rPr>
          <w:rFonts w:ascii="Times New Roman" w:hAnsi="Times New Roman" w:cs="Times New Roman"/>
          <w:sz w:val="20"/>
          <w:szCs w:val="20"/>
        </w:rPr>
        <w:t>Peitz</w:t>
      </w:r>
      <w:proofErr w:type="spellEnd"/>
      <w:r w:rsidR="00916A4F" w:rsidRPr="003E391B">
        <w:rPr>
          <w:rFonts w:ascii="Times New Roman" w:hAnsi="Times New Roman" w:cs="Times New Roman"/>
          <w:sz w:val="20"/>
          <w:szCs w:val="20"/>
        </w:rPr>
        <w:t xml:space="preserve"> </w:t>
      </w:r>
      <w:r w:rsidR="00FA73CD" w:rsidRPr="003E391B">
        <w:rPr>
          <w:rFonts w:ascii="Times New Roman" w:hAnsi="Times New Roman" w:cs="Times New Roman"/>
          <w:sz w:val="20"/>
          <w:szCs w:val="20"/>
        </w:rPr>
        <w:t>(2005</w:t>
      </w:r>
      <w:r w:rsidR="000756FE" w:rsidRPr="003E391B">
        <w:rPr>
          <w:rFonts w:ascii="Times New Roman" w:hAnsi="Times New Roman" w:cs="Times New Roman"/>
          <w:sz w:val="20"/>
          <w:szCs w:val="20"/>
        </w:rPr>
        <w:t>b</w:t>
      </w:r>
      <w:r w:rsidR="00916A4F" w:rsidRPr="003E391B">
        <w:rPr>
          <w:rFonts w:ascii="Times New Roman" w:hAnsi="Times New Roman" w:cs="Times New Roman"/>
          <w:sz w:val="20"/>
          <w:szCs w:val="20"/>
        </w:rPr>
        <w:t xml:space="preserve">) agrega el supuesto de que el operador puede aplicar cobros diferentes a las llamadas que </w:t>
      </w:r>
      <w:r w:rsidR="00B370D2" w:rsidRPr="003E391B">
        <w:rPr>
          <w:rFonts w:ascii="Times New Roman" w:hAnsi="Times New Roman" w:cs="Times New Roman"/>
          <w:sz w:val="20"/>
          <w:szCs w:val="20"/>
        </w:rPr>
        <w:t xml:space="preserve">los consumidores </w:t>
      </w:r>
      <w:r w:rsidR="00916A4F" w:rsidRPr="003E391B">
        <w:rPr>
          <w:rFonts w:ascii="Times New Roman" w:hAnsi="Times New Roman" w:cs="Times New Roman"/>
          <w:sz w:val="20"/>
          <w:szCs w:val="20"/>
        </w:rPr>
        <w:t>terminan fuera o dentro de su red</w:t>
      </w:r>
      <w:r w:rsidR="00C30CCB" w:rsidRPr="003E391B">
        <w:rPr>
          <w:rFonts w:ascii="Times New Roman" w:hAnsi="Times New Roman" w:cs="Times New Roman"/>
          <w:sz w:val="20"/>
          <w:szCs w:val="20"/>
        </w:rPr>
        <w:t xml:space="preserve">. </w:t>
      </w:r>
      <w:r w:rsidR="00AD4395">
        <w:rPr>
          <w:rFonts w:ascii="Times New Roman" w:hAnsi="Times New Roman" w:cs="Times New Roman"/>
        </w:rPr>
        <w:t>E</w:t>
      </w:r>
      <w:r w:rsidR="000F0D54" w:rsidRPr="003E391B">
        <w:rPr>
          <w:rFonts w:ascii="Times New Roman" w:hAnsi="Times New Roman" w:cs="Times New Roman"/>
        </w:rPr>
        <w:t xml:space="preserve">n </w:t>
      </w:r>
      <w:proofErr w:type="spellStart"/>
      <w:r w:rsidR="000F0D54" w:rsidRPr="003E391B">
        <w:rPr>
          <w:rFonts w:ascii="Times New Roman" w:hAnsi="Times New Roman" w:cs="Times New Roman"/>
        </w:rPr>
        <w:t>Peitz</w:t>
      </w:r>
      <w:proofErr w:type="spellEnd"/>
      <w:r w:rsidR="000F0D54" w:rsidRPr="003E391B">
        <w:rPr>
          <w:rFonts w:ascii="Times New Roman" w:hAnsi="Times New Roman" w:cs="Times New Roman"/>
        </w:rPr>
        <w:t xml:space="preserve"> (2005a)</w:t>
      </w:r>
      <w:r w:rsidR="00AD4395">
        <w:rPr>
          <w:rFonts w:ascii="Times New Roman" w:hAnsi="Times New Roman" w:cs="Times New Roman"/>
        </w:rPr>
        <w:t>, el autor</w:t>
      </w:r>
      <w:r w:rsidR="000F0D54" w:rsidRPr="003E391B">
        <w:rPr>
          <w:rFonts w:ascii="Times New Roman" w:hAnsi="Times New Roman" w:cs="Times New Roman"/>
        </w:rPr>
        <w:t xml:space="preserve"> supone dos operadores que no pueden discriminar en precio respecto de las llamadas en y fuera de la r</w:t>
      </w:r>
      <w:r w:rsidR="00A31A29" w:rsidRPr="003E391B">
        <w:rPr>
          <w:rFonts w:ascii="Times New Roman" w:hAnsi="Times New Roman" w:cs="Times New Roman"/>
        </w:rPr>
        <w:t xml:space="preserve">ed. En contraste en </w:t>
      </w:r>
      <w:proofErr w:type="spellStart"/>
      <w:r w:rsidR="00A31A29" w:rsidRPr="003E391B">
        <w:rPr>
          <w:rFonts w:ascii="Times New Roman" w:hAnsi="Times New Roman" w:cs="Times New Roman"/>
        </w:rPr>
        <w:t>Peitz</w:t>
      </w:r>
      <w:proofErr w:type="spellEnd"/>
      <w:r w:rsidR="00A31A29" w:rsidRPr="003E391B">
        <w:rPr>
          <w:rFonts w:ascii="Times New Roman" w:hAnsi="Times New Roman" w:cs="Times New Roman"/>
        </w:rPr>
        <w:t xml:space="preserve"> (2005</w:t>
      </w:r>
      <w:r w:rsidR="00961878">
        <w:rPr>
          <w:rFonts w:ascii="Times New Roman" w:hAnsi="Times New Roman" w:cs="Times New Roman"/>
        </w:rPr>
        <w:t>b) se considera</w:t>
      </w:r>
      <w:r w:rsidR="000F0D54" w:rsidRPr="003E391B">
        <w:rPr>
          <w:rFonts w:ascii="Times New Roman" w:hAnsi="Times New Roman" w:cs="Times New Roman"/>
        </w:rPr>
        <w:t xml:space="preserve"> que esa discriminación es posible, no ob</w:t>
      </w:r>
      <w:r w:rsidR="00C02E92" w:rsidRPr="003E391B">
        <w:rPr>
          <w:rFonts w:ascii="Times New Roman" w:hAnsi="Times New Roman" w:cs="Times New Roman"/>
        </w:rPr>
        <w:t>stante lo cual llega</w:t>
      </w:r>
      <w:r w:rsidR="000F0D54" w:rsidRPr="003E391B">
        <w:rPr>
          <w:rFonts w:ascii="Times New Roman" w:hAnsi="Times New Roman" w:cs="Times New Roman"/>
        </w:rPr>
        <w:t xml:space="preserve"> exactament</w:t>
      </w:r>
      <w:r w:rsidR="003E0128" w:rsidRPr="003E391B">
        <w:rPr>
          <w:rFonts w:ascii="Times New Roman" w:hAnsi="Times New Roman" w:cs="Times New Roman"/>
        </w:rPr>
        <w:t xml:space="preserve">e </w:t>
      </w:r>
      <w:r w:rsidR="00C02E92" w:rsidRPr="003E391B">
        <w:rPr>
          <w:rFonts w:ascii="Times New Roman" w:hAnsi="Times New Roman" w:cs="Times New Roman"/>
        </w:rPr>
        <w:t xml:space="preserve">a </w:t>
      </w:r>
      <w:r w:rsidR="003E0128" w:rsidRPr="003E391B">
        <w:rPr>
          <w:rFonts w:ascii="Times New Roman" w:hAnsi="Times New Roman" w:cs="Times New Roman"/>
        </w:rPr>
        <w:t xml:space="preserve">las mismas conclusiones. </w:t>
      </w:r>
    </w:p>
    <w:p w:rsidR="00C94393" w:rsidRPr="003E391B" w:rsidRDefault="00C94393" w:rsidP="00C36258">
      <w:pPr>
        <w:spacing w:after="0" w:line="240" w:lineRule="auto"/>
        <w:jc w:val="both"/>
        <w:rPr>
          <w:rFonts w:ascii="Times New Roman" w:hAnsi="Times New Roman" w:cs="Times New Roman"/>
          <w:sz w:val="20"/>
          <w:szCs w:val="20"/>
        </w:rPr>
      </w:pPr>
    </w:p>
    <w:p w:rsidR="00481903" w:rsidRPr="003E391B" w:rsidRDefault="000B43A7" w:rsidP="00174108">
      <w:pPr>
        <w:spacing w:after="0" w:line="240" w:lineRule="auto"/>
        <w:jc w:val="both"/>
        <w:rPr>
          <w:rFonts w:ascii="Times New Roman" w:hAnsi="Times New Roman" w:cs="Times New Roman"/>
          <w:sz w:val="20"/>
          <w:szCs w:val="20"/>
        </w:rPr>
      </w:pPr>
      <w:r w:rsidRPr="00CB090E">
        <w:rPr>
          <w:rFonts w:ascii="Times New Roman" w:hAnsi="Times New Roman" w:cs="Times New Roman"/>
        </w:rPr>
        <w:t>De acuerdo con el autor, e</w:t>
      </w:r>
      <w:r w:rsidR="00481903" w:rsidRPr="00CB090E">
        <w:rPr>
          <w:rFonts w:ascii="Times New Roman" w:hAnsi="Times New Roman" w:cs="Times New Roman"/>
        </w:rPr>
        <w:t xml:space="preserve">l operador </w:t>
      </w:r>
      <w:r w:rsidR="000C0221" w:rsidRPr="00CB090E">
        <w:rPr>
          <w:rFonts w:ascii="Times New Roman" w:hAnsi="Times New Roman" w:cs="Times New Roman"/>
        </w:rPr>
        <w:t>preponderante</w:t>
      </w:r>
      <w:r w:rsidR="00961878" w:rsidRPr="00CB090E">
        <w:rPr>
          <w:rFonts w:ascii="Times New Roman" w:hAnsi="Times New Roman" w:cs="Times New Roman"/>
        </w:rPr>
        <w:t xml:space="preserve"> tiene incentivo a disminu</w:t>
      </w:r>
      <w:r w:rsidR="00481903" w:rsidRPr="00CB090E">
        <w:rPr>
          <w:rFonts w:ascii="Times New Roman" w:hAnsi="Times New Roman" w:cs="Times New Roman"/>
        </w:rPr>
        <w:t xml:space="preserve">ir las comunicaciones fuera de su red, </w:t>
      </w:r>
      <w:r w:rsidR="00F02C1C" w:rsidRPr="00CB090E">
        <w:rPr>
          <w:rFonts w:ascii="Times New Roman" w:hAnsi="Times New Roman" w:cs="Times New Roman"/>
        </w:rPr>
        <w:t xml:space="preserve">por lo que </w:t>
      </w:r>
      <w:r w:rsidR="00481903" w:rsidRPr="00CB090E">
        <w:rPr>
          <w:rFonts w:ascii="Times New Roman" w:hAnsi="Times New Roman" w:cs="Times New Roman"/>
        </w:rPr>
        <w:t xml:space="preserve">reducirá su </w:t>
      </w:r>
      <w:r w:rsidR="00993AF5" w:rsidRPr="00CB090E">
        <w:rPr>
          <w:rFonts w:ascii="Times New Roman" w:hAnsi="Times New Roman" w:cs="Times New Roman"/>
        </w:rPr>
        <w:t>precio al usuario</w:t>
      </w:r>
      <w:r w:rsidR="00481903" w:rsidRPr="00CB090E">
        <w:rPr>
          <w:rFonts w:ascii="Times New Roman" w:hAnsi="Times New Roman" w:cs="Times New Roman"/>
        </w:rPr>
        <w:t xml:space="preserve"> para no </w:t>
      </w:r>
      <w:r w:rsidR="00C479DE" w:rsidRPr="00CB090E">
        <w:rPr>
          <w:rFonts w:ascii="Times New Roman" w:hAnsi="Times New Roman" w:cs="Times New Roman"/>
        </w:rPr>
        <w:t>perder participación de mercado. E</w:t>
      </w:r>
      <w:r w:rsidR="00481903" w:rsidRPr="00CB090E">
        <w:rPr>
          <w:rFonts w:ascii="Times New Roman" w:hAnsi="Times New Roman" w:cs="Times New Roman"/>
        </w:rPr>
        <w:t xml:space="preserve">l entrante también lo hará para aumentar su participación de mercado y el tráfico </w:t>
      </w:r>
      <w:r w:rsidR="00993AF5" w:rsidRPr="00CB090E">
        <w:rPr>
          <w:rFonts w:ascii="Times New Roman" w:hAnsi="Times New Roman" w:cs="Times New Roman"/>
        </w:rPr>
        <w:t>haci</w:t>
      </w:r>
      <w:r w:rsidR="00481903" w:rsidRPr="00CB090E">
        <w:rPr>
          <w:rFonts w:ascii="Times New Roman" w:hAnsi="Times New Roman" w:cs="Times New Roman"/>
        </w:rPr>
        <w:t xml:space="preserve">a su red.  Estas conductas son </w:t>
      </w:r>
      <w:r w:rsidR="00896ECC" w:rsidRPr="00CB090E">
        <w:rPr>
          <w:rFonts w:ascii="Times New Roman" w:hAnsi="Times New Roman" w:cs="Times New Roman"/>
        </w:rPr>
        <w:t>llamadas</w:t>
      </w:r>
      <w:r w:rsidR="00481903" w:rsidRPr="00CB090E">
        <w:rPr>
          <w:rFonts w:ascii="Times New Roman" w:hAnsi="Times New Roman" w:cs="Times New Roman"/>
        </w:rPr>
        <w:t xml:space="preserve"> por </w:t>
      </w:r>
      <w:proofErr w:type="spellStart"/>
      <w:r w:rsidR="00481903" w:rsidRPr="00CB090E">
        <w:rPr>
          <w:rFonts w:ascii="Times New Roman" w:hAnsi="Times New Roman" w:cs="Times New Roman"/>
        </w:rPr>
        <w:t>Peizt</w:t>
      </w:r>
      <w:proofErr w:type="spellEnd"/>
      <w:r w:rsidR="00481903" w:rsidRPr="00CB090E">
        <w:rPr>
          <w:rFonts w:ascii="Times New Roman" w:hAnsi="Times New Roman" w:cs="Times New Roman"/>
        </w:rPr>
        <w:t xml:space="preserve"> “</w:t>
      </w:r>
      <w:r w:rsidR="00481903" w:rsidRPr="00CB090E">
        <w:rPr>
          <w:rFonts w:ascii="Times New Roman" w:hAnsi="Times New Roman" w:cs="Times New Roman"/>
          <w:i/>
        </w:rPr>
        <w:t>Efecto Ingresos de Acceso</w:t>
      </w:r>
      <w:r w:rsidR="00481903" w:rsidRPr="00CB090E">
        <w:rPr>
          <w:rFonts w:ascii="Times New Roman" w:hAnsi="Times New Roman" w:cs="Times New Roman"/>
        </w:rPr>
        <w:t>”</w:t>
      </w:r>
      <w:r w:rsidR="00F46AEB" w:rsidRPr="00CB090E">
        <w:rPr>
          <w:rStyle w:val="Refdenotaalpie"/>
          <w:rFonts w:ascii="Times New Roman" w:hAnsi="Times New Roman" w:cs="Times New Roman"/>
        </w:rPr>
        <w:footnoteReference w:id="5"/>
      </w:r>
      <w:r w:rsidR="00481903" w:rsidRPr="00CB090E">
        <w:rPr>
          <w:rFonts w:ascii="Times New Roman" w:hAnsi="Times New Roman" w:cs="Times New Roman"/>
        </w:rPr>
        <w:t xml:space="preserve">. </w:t>
      </w:r>
      <w:r w:rsidR="00896ECC" w:rsidRPr="00CB090E">
        <w:rPr>
          <w:rFonts w:ascii="Times New Roman" w:hAnsi="Times New Roman" w:cs="Times New Roman"/>
        </w:rPr>
        <w:t xml:space="preserve">La competencia entre </w:t>
      </w:r>
      <w:r w:rsidR="00896ECC" w:rsidRPr="003E391B">
        <w:rPr>
          <w:rFonts w:ascii="Times New Roman" w:hAnsi="Times New Roman" w:cs="Times New Roman"/>
          <w:sz w:val="20"/>
          <w:szCs w:val="20"/>
        </w:rPr>
        <w:t xml:space="preserve">ambas empresas genera mayor presión </w:t>
      </w:r>
      <w:r w:rsidR="00993AF5" w:rsidRPr="003E391B">
        <w:rPr>
          <w:rFonts w:ascii="Times New Roman" w:hAnsi="Times New Roman" w:cs="Times New Roman"/>
          <w:sz w:val="20"/>
          <w:szCs w:val="20"/>
        </w:rPr>
        <w:t>a la baja sobre los precios</w:t>
      </w:r>
      <w:r w:rsidR="00993AF5" w:rsidRPr="003E391B">
        <w:rPr>
          <w:rStyle w:val="Refdenotaalpie"/>
          <w:rFonts w:ascii="Times New Roman" w:hAnsi="Times New Roman" w:cs="Times New Roman"/>
          <w:sz w:val="20"/>
          <w:szCs w:val="20"/>
        </w:rPr>
        <w:footnoteReference w:id="6"/>
      </w:r>
      <w:r w:rsidR="00977D69" w:rsidRPr="003E391B">
        <w:rPr>
          <w:rFonts w:ascii="Times New Roman" w:hAnsi="Times New Roman" w:cs="Times New Roman"/>
          <w:sz w:val="20"/>
          <w:szCs w:val="20"/>
        </w:rPr>
        <w:t xml:space="preserve"> </w:t>
      </w:r>
      <w:r w:rsidR="00863334" w:rsidRPr="003E391B">
        <w:rPr>
          <w:rFonts w:ascii="Times New Roman" w:hAnsi="Times New Roman" w:cs="Times New Roman"/>
          <w:sz w:val="20"/>
          <w:szCs w:val="20"/>
        </w:rPr>
        <w:t>que paga el consumidor</w:t>
      </w:r>
      <w:r w:rsidR="00896ECC" w:rsidRPr="003E391B">
        <w:rPr>
          <w:rFonts w:ascii="Times New Roman" w:hAnsi="Times New Roman" w:cs="Times New Roman"/>
          <w:sz w:val="20"/>
          <w:szCs w:val="20"/>
        </w:rPr>
        <w:t>, a lo que denomina “</w:t>
      </w:r>
      <w:r w:rsidR="00896ECC" w:rsidRPr="003E391B">
        <w:rPr>
          <w:rFonts w:ascii="Times New Roman" w:hAnsi="Times New Roman" w:cs="Times New Roman"/>
          <w:i/>
          <w:sz w:val="20"/>
          <w:szCs w:val="20"/>
        </w:rPr>
        <w:t>efecto competencia</w:t>
      </w:r>
      <w:r w:rsidR="00896ECC" w:rsidRPr="003E391B">
        <w:rPr>
          <w:rFonts w:ascii="Times New Roman" w:hAnsi="Times New Roman" w:cs="Times New Roman"/>
          <w:sz w:val="20"/>
          <w:szCs w:val="20"/>
        </w:rPr>
        <w:t xml:space="preserve">”. </w:t>
      </w:r>
      <w:r w:rsidR="00FC3BA0" w:rsidRPr="003E391B">
        <w:rPr>
          <w:rFonts w:ascii="Times New Roman" w:hAnsi="Times New Roman" w:cs="Times New Roman"/>
          <w:sz w:val="20"/>
          <w:szCs w:val="20"/>
        </w:rPr>
        <w:t>La reducción en los precios</w:t>
      </w:r>
      <w:r w:rsidR="00481903" w:rsidRPr="003E391B">
        <w:rPr>
          <w:rFonts w:ascii="Times New Roman" w:hAnsi="Times New Roman" w:cs="Times New Roman"/>
          <w:sz w:val="20"/>
          <w:szCs w:val="20"/>
        </w:rPr>
        <w:t xml:space="preserve"> </w:t>
      </w:r>
      <w:r w:rsidR="00FC3BA0" w:rsidRPr="003E391B">
        <w:rPr>
          <w:rFonts w:ascii="Times New Roman" w:hAnsi="Times New Roman" w:cs="Times New Roman"/>
          <w:sz w:val="20"/>
          <w:szCs w:val="20"/>
        </w:rPr>
        <w:t>al menudeo p</w:t>
      </w:r>
      <w:r w:rsidR="00481903" w:rsidRPr="003E391B">
        <w:rPr>
          <w:rFonts w:ascii="Times New Roman" w:hAnsi="Times New Roman" w:cs="Times New Roman"/>
          <w:sz w:val="20"/>
          <w:szCs w:val="20"/>
        </w:rPr>
        <w:t xml:space="preserve">or parte del </w:t>
      </w:r>
      <w:r w:rsidR="008C0E39" w:rsidRPr="003E391B">
        <w:rPr>
          <w:rFonts w:ascii="Times New Roman" w:hAnsi="Times New Roman" w:cs="Times New Roman"/>
          <w:sz w:val="20"/>
          <w:szCs w:val="20"/>
        </w:rPr>
        <w:t>operado</w:t>
      </w:r>
      <w:r w:rsidR="00C479DE" w:rsidRPr="003E391B">
        <w:rPr>
          <w:rFonts w:ascii="Times New Roman" w:hAnsi="Times New Roman" w:cs="Times New Roman"/>
          <w:sz w:val="20"/>
          <w:szCs w:val="20"/>
        </w:rPr>
        <w:t xml:space="preserve">r </w:t>
      </w:r>
      <w:r w:rsidR="00481903" w:rsidRPr="003E391B">
        <w:rPr>
          <w:rFonts w:ascii="Times New Roman" w:hAnsi="Times New Roman" w:cs="Times New Roman"/>
          <w:sz w:val="20"/>
          <w:szCs w:val="20"/>
        </w:rPr>
        <w:t>entrante incentiva</w:t>
      </w:r>
      <w:r w:rsidR="00FC3BA0" w:rsidRPr="003E391B">
        <w:rPr>
          <w:rFonts w:ascii="Times New Roman" w:hAnsi="Times New Roman" w:cs="Times New Roman"/>
          <w:sz w:val="20"/>
          <w:szCs w:val="20"/>
        </w:rPr>
        <w:t xml:space="preserve"> las llamadas hacia su red, además de propiciar que atraiga a un mayor número de suscriptores.  </w:t>
      </w:r>
    </w:p>
    <w:p w:rsidR="00174108" w:rsidRDefault="00174108" w:rsidP="00174108">
      <w:pPr>
        <w:spacing w:after="0" w:line="240" w:lineRule="auto"/>
        <w:jc w:val="both"/>
        <w:rPr>
          <w:rFonts w:ascii="Times New Roman" w:hAnsi="Times New Roman" w:cs="Times New Roman"/>
          <w:sz w:val="20"/>
          <w:szCs w:val="20"/>
        </w:rPr>
      </w:pPr>
    </w:p>
    <w:p w:rsidR="00D61704" w:rsidRDefault="00E95511" w:rsidP="00174108">
      <w:pPr>
        <w:spacing w:after="0" w:line="240" w:lineRule="auto"/>
        <w:jc w:val="both"/>
        <w:rPr>
          <w:rFonts w:ascii="Times New Roman" w:hAnsi="Times New Roman" w:cs="Times New Roman"/>
          <w:sz w:val="20"/>
          <w:szCs w:val="20"/>
        </w:rPr>
      </w:pPr>
      <w:proofErr w:type="spellStart"/>
      <w:r w:rsidRPr="003E391B">
        <w:rPr>
          <w:rFonts w:ascii="Times New Roman" w:hAnsi="Times New Roman" w:cs="Times New Roman"/>
          <w:sz w:val="20"/>
          <w:szCs w:val="20"/>
        </w:rPr>
        <w:lastRenderedPageBreak/>
        <w:t>Peitz</w:t>
      </w:r>
      <w:proofErr w:type="spellEnd"/>
      <w:r w:rsidRPr="003E391B">
        <w:rPr>
          <w:rFonts w:ascii="Times New Roman" w:hAnsi="Times New Roman" w:cs="Times New Roman"/>
          <w:sz w:val="20"/>
          <w:szCs w:val="20"/>
        </w:rPr>
        <w:t xml:space="preserve"> c</w:t>
      </w:r>
      <w:r w:rsidR="005A1F3A" w:rsidRPr="003E391B">
        <w:rPr>
          <w:rFonts w:ascii="Times New Roman" w:hAnsi="Times New Roman" w:cs="Times New Roman"/>
          <w:sz w:val="20"/>
          <w:szCs w:val="20"/>
        </w:rPr>
        <w:t>oncluye, bajo ciertos supuestos</w:t>
      </w:r>
      <w:r w:rsidR="00946591" w:rsidRPr="003E391B">
        <w:rPr>
          <w:rStyle w:val="Refdenotaalpie"/>
          <w:rFonts w:ascii="Times New Roman" w:hAnsi="Times New Roman" w:cs="Times New Roman"/>
          <w:sz w:val="20"/>
          <w:szCs w:val="20"/>
        </w:rPr>
        <w:footnoteReference w:id="7"/>
      </w:r>
      <w:r w:rsidR="005A1F3A" w:rsidRPr="003E391B">
        <w:rPr>
          <w:rFonts w:ascii="Times New Roman" w:hAnsi="Times New Roman" w:cs="Times New Roman"/>
          <w:sz w:val="20"/>
          <w:szCs w:val="20"/>
        </w:rPr>
        <w:t>,  que</w:t>
      </w:r>
      <w:r w:rsidR="00993AF5" w:rsidRPr="003E391B">
        <w:rPr>
          <w:rFonts w:ascii="Times New Roman" w:hAnsi="Times New Roman" w:cs="Times New Roman"/>
          <w:sz w:val="20"/>
          <w:szCs w:val="20"/>
        </w:rPr>
        <w:t xml:space="preserve"> los esquemas de TTM asimétricas</w:t>
      </w:r>
      <w:r w:rsidR="00D61704">
        <w:rPr>
          <w:rFonts w:ascii="Times New Roman" w:hAnsi="Times New Roman" w:cs="Times New Roman"/>
          <w:sz w:val="20"/>
          <w:szCs w:val="20"/>
        </w:rPr>
        <w:t>:</w:t>
      </w:r>
    </w:p>
    <w:p w:rsidR="00841466" w:rsidRPr="00D61704" w:rsidRDefault="00993AF5" w:rsidP="00D61704">
      <w:pPr>
        <w:pStyle w:val="Prrafodelista"/>
        <w:numPr>
          <w:ilvl w:val="0"/>
          <w:numId w:val="47"/>
        </w:numPr>
        <w:spacing w:after="0" w:line="240" w:lineRule="auto"/>
        <w:ind w:left="193" w:hanging="193"/>
        <w:jc w:val="both"/>
        <w:rPr>
          <w:rFonts w:ascii="Times New Roman" w:hAnsi="Times New Roman" w:cs="Times New Roman"/>
          <w:sz w:val="20"/>
          <w:szCs w:val="20"/>
        </w:rPr>
      </w:pPr>
      <w:r w:rsidRPr="00D61704">
        <w:rPr>
          <w:rFonts w:ascii="Times New Roman" w:hAnsi="Times New Roman" w:cs="Times New Roman"/>
          <w:sz w:val="20"/>
          <w:szCs w:val="20"/>
        </w:rPr>
        <w:t xml:space="preserve"> promueven</w:t>
      </w:r>
      <w:r w:rsidR="00841466" w:rsidRPr="00D61704">
        <w:rPr>
          <w:rFonts w:ascii="Times New Roman" w:hAnsi="Times New Roman" w:cs="Times New Roman"/>
          <w:sz w:val="20"/>
          <w:szCs w:val="20"/>
        </w:rPr>
        <w:t xml:space="preserve"> la competencia en el corto plazo, por lo que:</w:t>
      </w:r>
    </w:p>
    <w:p w:rsidR="00A84DB6" w:rsidRPr="003E391B" w:rsidRDefault="00EA19B0" w:rsidP="00D61704">
      <w:pPr>
        <w:pStyle w:val="Prrafodelista"/>
        <w:numPr>
          <w:ilvl w:val="0"/>
          <w:numId w:val="50"/>
        </w:numPr>
        <w:spacing w:after="80" w:line="240" w:lineRule="auto"/>
        <w:ind w:left="193" w:hanging="193"/>
        <w:contextualSpacing w:val="0"/>
        <w:jc w:val="both"/>
        <w:rPr>
          <w:rFonts w:ascii="Times New Roman" w:hAnsi="Times New Roman" w:cs="Times New Roman"/>
          <w:sz w:val="20"/>
          <w:szCs w:val="20"/>
        </w:rPr>
      </w:pPr>
      <w:r w:rsidRPr="003E391B">
        <w:rPr>
          <w:rFonts w:ascii="Times New Roman" w:hAnsi="Times New Roman" w:cs="Times New Roman"/>
          <w:bCs/>
          <w:sz w:val="20"/>
          <w:szCs w:val="20"/>
        </w:rPr>
        <w:t>Se reducen</w:t>
      </w:r>
      <w:r w:rsidR="00841466" w:rsidRPr="003E391B">
        <w:rPr>
          <w:rFonts w:ascii="Times New Roman" w:hAnsi="Times New Roman" w:cs="Times New Roman"/>
          <w:bCs/>
          <w:sz w:val="20"/>
          <w:szCs w:val="20"/>
        </w:rPr>
        <w:t xml:space="preserve"> los precios </w:t>
      </w:r>
      <w:r w:rsidR="00946591" w:rsidRPr="003E391B">
        <w:rPr>
          <w:rFonts w:ascii="Times New Roman" w:hAnsi="Times New Roman" w:cs="Times New Roman"/>
          <w:bCs/>
          <w:sz w:val="20"/>
          <w:szCs w:val="20"/>
        </w:rPr>
        <w:t>al</w:t>
      </w:r>
      <w:r w:rsidR="00961878">
        <w:rPr>
          <w:rFonts w:ascii="Times New Roman" w:hAnsi="Times New Roman" w:cs="Times New Roman"/>
          <w:bCs/>
          <w:sz w:val="20"/>
          <w:szCs w:val="20"/>
        </w:rPr>
        <w:t xml:space="preserve"> menudeo de los dos</w:t>
      </w:r>
      <w:r w:rsidR="005A1F3A" w:rsidRPr="003E391B">
        <w:rPr>
          <w:rFonts w:ascii="Times New Roman" w:hAnsi="Times New Roman" w:cs="Times New Roman"/>
          <w:bCs/>
          <w:sz w:val="20"/>
          <w:szCs w:val="20"/>
        </w:rPr>
        <w:t xml:space="preserve"> operadores</w:t>
      </w:r>
      <w:r w:rsidR="00993AF5" w:rsidRPr="003E391B">
        <w:rPr>
          <w:rFonts w:ascii="Times New Roman" w:hAnsi="Times New Roman" w:cs="Times New Roman"/>
          <w:bCs/>
          <w:sz w:val="20"/>
          <w:szCs w:val="20"/>
        </w:rPr>
        <w:t xml:space="preserve">, </w:t>
      </w:r>
      <w:r w:rsidR="00841466" w:rsidRPr="003E391B">
        <w:rPr>
          <w:rFonts w:ascii="Times New Roman" w:hAnsi="Times New Roman" w:cs="Times New Roman"/>
          <w:bCs/>
          <w:sz w:val="20"/>
          <w:szCs w:val="20"/>
        </w:rPr>
        <w:t xml:space="preserve"> aumenta</w:t>
      </w:r>
      <w:r w:rsidR="00C479DE" w:rsidRPr="003E391B">
        <w:rPr>
          <w:rFonts w:ascii="Times New Roman" w:hAnsi="Times New Roman" w:cs="Times New Roman"/>
          <w:bCs/>
          <w:sz w:val="20"/>
          <w:szCs w:val="20"/>
        </w:rPr>
        <w:t>ndo el bienestar del consumidor.</w:t>
      </w:r>
    </w:p>
    <w:p w:rsidR="00174108" w:rsidRDefault="00841466" w:rsidP="00D61704">
      <w:pPr>
        <w:pStyle w:val="Prrafodelista"/>
        <w:numPr>
          <w:ilvl w:val="0"/>
          <w:numId w:val="50"/>
        </w:numPr>
        <w:spacing w:after="80" w:line="240" w:lineRule="auto"/>
        <w:ind w:left="193" w:hanging="193"/>
        <w:contextualSpacing w:val="0"/>
        <w:jc w:val="both"/>
        <w:rPr>
          <w:rFonts w:ascii="Times New Roman" w:hAnsi="Times New Roman" w:cs="Times New Roman"/>
          <w:bCs/>
          <w:sz w:val="20"/>
          <w:szCs w:val="20"/>
        </w:rPr>
      </w:pPr>
      <w:r w:rsidRPr="003E391B">
        <w:rPr>
          <w:rFonts w:ascii="Times New Roman" w:hAnsi="Times New Roman" w:cs="Times New Roman"/>
          <w:bCs/>
          <w:sz w:val="20"/>
          <w:szCs w:val="20"/>
        </w:rPr>
        <w:t>Aumenta la rentabilidad del entrante</w:t>
      </w:r>
      <w:r w:rsidR="000B43A7" w:rsidRPr="003E391B">
        <w:rPr>
          <w:rFonts w:ascii="Times New Roman" w:hAnsi="Times New Roman" w:cs="Times New Roman"/>
          <w:bCs/>
          <w:sz w:val="20"/>
          <w:szCs w:val="20"/>
        </w:rPr>
        <w:t>.</w:t>
      </w:r>
      <w:r w:rsidR="00DB28B1" w:rsidRPr="003E391B">
        <w:rPr>
          <w:rFonts w:ascii="Times New Roman" w:hAnsi="Times New Roman" w:cs="Times New Roman"/>
          <w:bCs/>
          <w:sz w:val="20"/>
          <w:szCs w:val="20"/>
        </w:rPr>
        <w:t xml:space="preserve"> </w:t>
      </w:r>
    </w:p>
    <w:p w:rsidR="00C763A1" w:rsidRPr="00174108" w:rsidRDefault="00841466" w:rsidP="00174108">
      <w:pPr>
        <w:pStyle w:val="Prrafodelista"/>
        <w:numPr>
          <w:ilvl w:val="0"/>
          <w:numId w:val="47"/>
        </w:numPr>
        <w:spacing w:after="80" w:line="240" w:lineRule="auto"/>
        <w:ind w:left="193" w:hanging="193"/>
        <w:contextualSpacing w:val="0"/>
        <w:jc w:val="both"/>
        <w:rPr>
          <w:rFonts w:ascii="Times New Roman" w:hAnsi="Times New Roman" w:cs="Times New Roman"/>
          <w:bCs/>
          <w:sz w:val="20"/>
          <w:szCs w:val="20"/>
        </w:rPr>
      </w:pPr>
      <w:r w:rsidRPr="00174108">
        <w:rPr>
          <w:rFonts w:ascii="Times New Roman" w:hAnsi="Times New Roman" w:cs="Times New Roman"/>
          <w:bCs/>
          <w:sz w:val="20"/>
          <w:szCs w:val="20"/>
        </w:rPr>
        <w:t xml:space="preserve">Se promueve la competencia en el largo plazo a través de </w:t>
      </w:r>
      <w:r w:rsidR="00D61704">
        <w:rPr>
          <w:rFonts w:ascii="Times New Roman" w:hAnsi="Times New Roman" w:cs="Times New Roman"/>
          <w:bCs/>
          <w:sz w:val="20"/>
          <w:szCs w:val="20"/>
        </w:rPr>
        <w:t xml:space="preserve">la </w:t>
      </w:r>
      <w:r w:rsidRPr="00174108">
        <w:rPr>
          <w:rFonts w:ascii="Times New Roman" w:hAnsi="Times New Roman" w:cs="Times New Roman"/>
          <w:bCs/>
          <w:sz w:val="20"/>
          <w:szCs w:val="20"/>
        </w:rPr>
        <w:t>entrada permanente de nuevos operadores</w:t>
      </w:r>
      <w:r w:rsidR="00961878" w:rsidRPr="00174108">
        <w:rPr>
          <w:rFonts w:ascii="Times New Roman" w:hAnsi="Times New Roman" w:cs="Times New Roman"/>
          <w:bCs/>
          <w:sz w:val="20"/>
          <w:szCs w:val="20"/>
        </w:rPr>
        <w:t>, ya que s</w:t>
      </w:r>
      <w:r w:rsidR="00897BF9" w:rsidRPr="00174108">
        <w:rPr>
          <w:rFonts w:ascii="Times New Roman" w:hAnsi="Times New Roman" w:cs="Times New Roman"/>
          <w:bCs/>
          <w:sz w:val="20"/>
          <w:szCs w:val="20"/>
        </w:rPr>
        <w:t>e mantiene</w:t>
      </w:r>
      <w:r w:rsidR="0097030C" w:rsidRPr="00174108">
        <w:rPr>
          <w:rFonts w:ascii="Times New Roman" w:hAnsi="Times New Roman" w:cs="Times New Roman"/>
          <w:bCs/>
          <w:sz w:val="20"/>
          <w:szCs w:val="20"/>
        </w:rPr>
        <w:t xml:space="preserve"> la TTM</w:t>
      </w:r>
      <w:r w:rsidR="00967509" w:rsidRPr="00174108">
        <w:rPr>
          <w:rFonts w:ascii="Times New Roman" w:hAnsi="Times New Roman" w:cs="Times New Roman"/>
          <w:bCs/>
          <w:sz w:val="20"/>
          <w:szCs w:val="20"/>
        </w:rPr>
        <w:t xml:space="preserve"> de los entrantes</w:t>
      </w:r>
      <w:r w:rsidRPr="00174108">
        <w:rPr>
          <w:rFonts w:ascii="Times New Roman" w:hAnsi="Times New Roman" w:cs="Times New Roman"/>
          <w:bCs/>
          <w:sz w:val="20"/>
          <w:szCs w:val="20"/>
        </w:rPr>
        <w:t xml:space="preserve"> </w:t>
      </w:r>
      <w:r w:rsidR="00967509" w:rsidRPr="00174108">
        <w:rPr>
          <w:rFonts w:ascii="Times New Roman" w:hAnsi="Times New Roman" w:cs="Times New Roman"/>
          <w:bCs/>
          <w:sz w:val="20"/>
          <w:szCs w:val="20"/>
        </w:rPr>
        <w:t>por encima de costos</w:t>
      </w:r>
      <w:r w:rsidR="00897BF9" w:rsidRPr="00174108">
        <w:rPr>
          <w:rFonts w:ascii="Times New Roman" w:hAnsi="Times New Roman" w:cs="Times New Roman"/>
          <w:bCs/>
          <w:sz w:val="20"/>
          <w:szCs w:val="20"/>
        </w:rPr>
        <w:t>. Esto desafortunadamente también</w:t>
      </w:r>
      <w:r w:rsidR="00967509" w:rsidRPr="00174108">
        <w:rPr>
          <w:rFonts w:ascii="Times New Roman" w:hAnsi="Times New Roman" w:cs="Times New Roman"/>
          <w:bCs/>
          <w:sz w:val="20"/>
          <w:szCs w:val="20"/>
        </w:rPr>
        <w:t xml:space="preserve"> </w:t>
      </w:r>
      <w:r w:rsidR="0097030C" w:rsidRPr="00174108">
        <w:rPr>
          <w:rFonts w:ascii="Times New Roman" w:hAnsi="Times New Roman" w:cs="Times New Roman"/>
          <w:bCs/>
          <w:sz w:val="20"/>
          <w:szCs w:val="20"/>
        </w:rPr>
        <w:t xml:space="preserve">reduce </w:t>
      </w:r>
      <w:r w:rsidRPr="00174108">
        <w:rPr>
          <w:rFonts w:ascii="Times New Roman" w:hAnsi="Times New Roman" w:cs="Times New Roman"/>
          <w:bCs/>
          <w:sz w:val="20"/>
          <w:szCs w:val="20"/>
        </w:rPr>
        <w:t xml:space="preserve">el excedente total, definido como la suma del excedente del productor (la suma de las utilidades en la industria) y el excedente del consumidor. </w:t>
      </w:r>
    </w:p>
    <w:p w:rsidR="002C1F41" w:rsidRPr="003E391B" w:rsidRDefault="002C1F41" w:rsidP="00174108">
      <w:pPr>
        <w:spacing w:after="0" w:line="240" w:lineRule="auto"/>
        <w:jc w:val="both"/>
        <w:rPr>
          <w:rFonts w:ascii="Times New Roman" w:hAnsi="Times New Roman" w:cs="Times New Roman"/>
          <w:bCs/>
          <w:sz w:val="20"/>
          <w:szCs w:val="20"/>
        </w:rPr>
      </w:pPr>
    </w:p>
    <w:p w:rsidR="00174108" w:rsidRDefault="000F0D54" w:rsidP="00174108">
      <w:pPr>
        <w:spacing w:after="0" w:line="240" w:lineRule="auto"/>
        <w:jc w:val="both"/>
        <w:rPr>
          <w:rFonts w:ascii="Times New Roman" w:hAnsi="Times New Roman" w:cs="Times New Roman"/>
          <w:bCs/>
          <w:sz w:val="20"/>
          <w:szCs w:val="20"/>
        </w:rPr>
      </w:pPr>
      <w:r w:rsidRPr="003E391B">
        <w:rPr>
          <w:rFonts w:ascii="Times New Roman" w:hAnsi="Times New Roman" w:cs="Times New Roman"/>
          <w:bCs/>
          <w:sz w:val="20"/>
          <w:szCs w:val="20"/>
        </w:rPr>
        <w:t xml:space="preserve">En el modelo de </w:t>
      </w:r>
      <w:proofErr w:type="spellStart"/>
      <w:r w:rsidRPr="003E391B">
        <w:rPr>
          <w:rFonts w:ascii="Times New Roman" w:hAnsi="Times New Roman" w:cs="Times New Roman"/>
          <w:bCs/>
          <w:sz w:val="20"/>
          <w:szCs w:val="20"/>
        </w:rPr>
        <w:t>Peitz</w:t>
      </w:r>
      <w:proofErr w:type="spellEnd"/>
      <w:r w:rsidRPr="003E391B">
        <w:rPr>
          <w:rFonts w:ascii="Times New Roman" w:hAnsi="Times New Roman" w:cs="Times New Roman"/>
          <w:bCs/>
          <w:sz w:val="20"/>
          <w:szCs w:val="20"/>
        </w:rPr>
        <w:t>, n</w:t>
      </w:r>
      <w:r w:rsidR="002C1F41" w:rsidRPr="003E391B">
        <w:rPr>
          <w:rFonts w:ascii="Times New Roman" w:hAnsi="Times New Roman" w:cs="Times New Roman"/>
          <w:bCs/>
          <w:sz w:val="20"/>
          <w:szCs w:val="20"/>
        </w:rPr>
        <w:t>o se prevé un aumento significativo en la participación del entrante</w:t>
      </w:r>
      <w:r w:rsidRPr="003E391B">
        <w:rPr>
          <w:rFonts w:ascii="Times New Roman" w:hAnsi="Times New Roman" w:cs="Times New Roman"/>
          <w:bCs/>
          <w:sz w:val="20"/>
          <w:szCs w:val="20"/>
        </w:rPr>
        <w:t>, ya que ambos operadores (</w:t>
      </w:r>
      <w:r w:rsidR="000C0221" w:rsidRPr="003E391B">
        <w:rPr>
          <w:rFonts w:ascii="Times New Roman" w:hAnsi="Times New Roman" w:cs="Times New Roman"/>
          <w:bCs/>
          <w:sz w:val="20"/>
          <w:szCs w:val="20"/>
        </w:rPr>
        <w:t>preponderante</w:t>
      </w:r>
      <w:r w:rsidRPr="003E391B">
        <w:rPr>
          <w:rFonts w:ascii="Times New Roman" w:hAnsi="Times New Roman" w:cs="Times New Roman"/>
          <w:bCs/>
          <w:sz w:val="20"/>
          <w:szCs w:val="20"/>
        </w:rPr>
        <w:t xml:space="preserve"> y entrante) reducen sus precios</w:t>
      </w:r>
      <w:r w:rsidR="002C1F41" w:rsidRPr="003E391B">
        <w:rPr>
          <w:rFonts w:ascii="Times New Roman" w:hAnsi="Times New Roman" w:cs="Times New Roman"/>
          <w:bCs/>
          <w:sz w:val="20"/>
          <w:szCs w:val="20"/>
        </w:rPr>
        <w:t>.</w:t>
      </w:r>
      <w:r w:rsidR="008C0E39" w:rsidRPr="003E391B">
        <w:rPr>
          <w:rFonts w:ascii="Times New Roman" w:hAnsi="Times New Roman" w:cs="Times New Roman"/>
          <w:bCs/>
          <w:sz w:val="20"/>
          <w:szCs w:val="20"/>
        </w:rPr>
        <w:t xml:space="preserve"> </w:t>
      </w:r>
    </w:p>
    <w:p w:rsidR="00D61704" w:rsidRDefault="00D61704" w:rsidP="00C36258">
      <w:pPr>
        <w:spacing w:after="0" w:line="240" w:lineRule="auto"/>
        <w:jc w:val="both"/>
        <w:rPr>
          <w:rFonts w:ascii="Times New Roman" w:hAnsi="Times New Roman" w:cs="Times New Roman"/>
          <w:sz w:val="20"/>
          <w:szCs w:val="20"/>
        </w:rPr>
      </w:pPr>
    </w:p>
    <w:p w:rsidR="000B43A7" w:rsidRPr="003E391B" w:rsidRDefault="00EA19B0" w:rsidP="00C36258">
      <w:pPr>
        <w:spacing w:after="0" w:line="240" w:lineRule="auto"/>
        <w:jc w:val="both"/>
        <w:rPr>
          <w:rFonts w:ascii="Times New Roman" w:hAnsi="Times New Roman" w:cs="Times New Roman"/>
          <w:color w:val="FF0000"/>
          <w:sz w:val="20"/>
          <w:szCs w:val="20"/>
        </w:rPr>
      </w:pPr>
      <w:r w:rsidRPr="003E391B">
        <w:rPr>
          <w:rFonts w:ascii="Times New Roman" w:hAnsi="Times New Roman" w:cs="Times New Roman"/>
          <w:sz w:val="20"/>
          <w:szCs w:val="20"/>
        </w:rPr>
        <w:t>En el mismo sentido, pero b</w:t>
      </w:r>
      <w:r w:rsidR="00B3208D" w:rsidRPr="003E391B">
        <w:rPr>
          <w:rFonts w:ascii="Times New Roman" w:hAnsi="Times New Roman" w:cs="Times New Roman"/>
          <w:sz w:val="20"/>
          <w:szCs w:val="20"/>
        </w:rPr>
        <w:t xml:space="preserve">ajo un enfoque de evaluación ex post de la regulación, destaca </w:t>
      </w:r>
      <w:r w:rsidR="00175909" w:rsidRPr="003E391B">
        <w:rPr>
          <w:rFonts w:ascii="Times New Roman" w:hAnsi="Times New Roman" w:cs="Times New Roman"/>
          <w:sz w:val="20"/>
          <w:szCs w:val="20"/>
        </w:rPr>
        <w:t>la contrib</w:t>
      </w:r>
      <w:r w:rsidR="002C1F41" w:rsidRPr="003E391B">
        <w:rPr>
          <w:rFonts w:ascii="Times New Roman" w:hAnsi="Times New Roman" w:cs="Times New Roman"/>
          <w:sz w:val="20"/>
          <w:szCs w:val="20"/>
        </w:rPr>
        <w:t xml:space="preserve">ución de </w:t>
      </w:r>
      <w:proofErr w:type="spellStart"/>
      <w:r w:rsidR="002C1F41" w:rsidRPr="003E391B">
        <w:rPr>
          <w:rFonts w:ascii="Times New Roman" w:hAnsi="Times New Roman" w:cs="Times New Roman"/>
          <w:sz w:val="20"/>
          <w:szCs w:val="20"/>
        </w:rPr>
        <w:t>Baranes</w:t>
      </w:r>
      <w:proofErr w:type="spellEnd"/>
      <w:r w:rsidR="002C1F41" w:rsidRPr="003E391B">
        <w:rPr>
          <w:rFonts w:ascii="Times New Roman" w:hAnsi="Times New Roman" w:cs="Times New Roman"/>
          <w:sz w:val="20"/>
          <w:szCs w:val="20"/>
        </w:rPr>
        <w:t xml:space="preserve"> </w:t>
      </w:r>
      <w:r w:rsidR="00977D69" w:rsidRPr="003E391B">
        <w:rPr>
          <w:rFonts w:ascii="Times New Roman" w:hAnsi="Times New Roman" w:cs="Times New Roman"/>
          <w:sz w:val="20"/>
          <w:szCs w:val="20"/>
        </w:rPr>
        <w:t>et al</w:t>
      </w:r>
      <w:r w:rsidR="002C1F41" w:rsidRPr="003E391B">
        <w:rPr>
          <w:rFonts w:ascii="Times New Roman" w:hAnsi="Times New Roman" w:cs="Times New Roman"/>
          <w:sz w:val="20"/>
          <w:szCs w:val="20"/>
        </w:rPr>
        <w:t xml:space="preserve"> (2011</w:t>
      </w:r>
      <w:r w:rsidR="00961878">
        <w:rPr>
          <w:rFonts w:ascii="Times New Roman" w:hAnsi="Times New Roman" w:cs="Times New Roman"/>
          <w:sz w:val="20"/>
          <w:szCs w:val="20"/>
        </w:rPr>
        <w:t>a y b</w:t>
      </w:r>
      <w:r w:rsidR="00175909" w:rsidRPr="003E391B">
        <w:rPr>
          <w:rFonts w:ascii="Times New Roman" w:hAnsi="Times New Roman" w:cs="Times New Roman"/>
          <w:sz w:val="20"/>
          <w:szCs w:val="20"/>
        </w:rPr>
        <w:t>)</w:t>
      </w:r>
      <w:r w:rsidR="00B3208D" w:rsidRPr="003E391B">
        <w:rPr>
          <w:rFonts w:ascii="Times New Roman" w:hAnsi="Times New Roman" w:cs="Times New Roman"/>
          <w:sz w:val="20"/>
          <w:szCs w:val="20"/>
        </w:rPr>
        <w:t>, quienes estiman</w:t>
      </w:r>
      <w:r w:rsidR="00CD2090" w:rsidRPr="003E391B">
        <w:rPr>
          <w:rFonts w:ascii="Times New Roman" w:hAnsi="Times New Roman" w:cs="Times New Roman"/>
          <w:sz w:val="20"/>
          <w:szCs w:val="20"/>
        </w:rPr>
        <w:t xml:space="preserve"> un modelo</w:t>
      </w:r>
      <w:r w:rsidR="007E7C4E" w:rsidRPr="003E391B">
        <w:rPr>
          <w:rFonts w:ascii="Times New Roman" w:hAnsi="Times New Roman" w:cs="Times New Roman"/>
          <w:sz w:val="20"/>
          <w:szCs w:val="20"/>
        </w:rPr>
        <w:t xml:space="preserve"> </w:t>
      </w:r>
      <w:r w:rsidR="00606144" w:rsidRPr="003E391B">
        <w:rPr>
          <w:rFonts w:ascii="Times New Roman" w:hAnsi="Times New Roman" w:cs="Times New Roman"/>
          <w:sz w:val="20"/>
          <w:szCs w:val="20"/>
        </w:rPr>
        <w:t xml:space="preserve">basado en los planteamientos de </w:t>
      </w:r>
      <w:proofErr w:type="spellStart"/>
      <w:r w:rsidR="00606144" w:rsidRPr="003E391B">
        <w:rPr>
          <w:rFonts w:ascii="Times New Roman" w:hAnsi="Times New Roman" w:cs="Times New Roman"/>
          <w:sz w:val="20"/>
          <w:szCs w:val="20"/>
        </w:rPr>
        <w:t>Peitz</w:t>
      </w:r>
      <w:proofErr w:type="spellEnd"/>
      <w:r w:rsidR="00606144" w:rsidRPr="003E391B">
        <w:rPr>
          <w:rFonts w:ascii="Times New Roman" w:hAnsi="Times New Roman" w:cs="Times New Roman"/>
          <w:sz w:val="20"/>
          <w:szCs w:val="20"/>
        </w:rPr>
        <w:t xml:space="preserve"> </w:t>
      </w:r>
      <w:r w:rsidR="007E7C4E" w:rsidRPr="003E391B">
        <w:rPr>
          <w:rFonts w:ascii="Times New Roman" w:hAnsi="Times New Roman" w:cs="Times New Roman"/>
          <w:sz w:val="20"/>
          <w:szCs w:val="20"/>
        </w:rPr>
        <w:t xml:space="preserve">para los países europeos </w:t>
      </w:r>
      <w:r w:rsidR="000B43A7" w:rsidRPr="003E391B">
        <w:rPr>
          <w:rFonts w:ascii="Times New Roman" w:hAnsi="Times New Roman" w:cs="Times New Roman"/>
          <w:sz w:val="20"/>
          <w:szCs w:val="20"/>
        </w:rPr>
        <w:t xml:space="preserve">en el periodo 2002-2006. De acuerdo con los hallazgos de </w:t>
      </w:r>
      <w:proofErr w:type="spellStart"/>
      <w:r w:rsidR="000B43A7" w:rsidRPr="003E391B">
        <w:rPr>
          <w:rFonts w:ascii="Times New Roman" w:hAnsi="Times New Roman" w:cs="Times New Roman"/>
          <w:sz w:val="20"/>
          <w:szCs w:val="20"/>
        </w:rPr>
        <w:t>Baranes</w:t>
      </w:r>
      <w:proofErr w:type="spellEnd"/>
      <w:r w:rsidR="000B43A7" w:rsidRPr="003E391B">
        <w:rPr>
          <w:rFonts w:ascii="Times New Roman" w:hAnsi="Times New Roman" w:cs="Times New Roman"/>
          <w:sz w:val="20"/>
          <w:szCs w:val="20"/>
        </w:rPr>
        <w:t xml:space="preserve"> et al (2011</w:t>
      </w:r>
      <w:r w:rsidR="00961878">
        <w:rPr>
          <w:rFonts w:ascii="Times New Roman" w:hAnsi="Times New Roman" w:cs="Times New Roman"/>
          <w:sz w:val="20"/>
          <w:szCs w:val="20"/>
        </w:rPr>
        <w:t>a y b</w:t>
      </w:r>
      <w:r w:rsidR="000B43A7" w:rsidRPr="003E391B">
        <w:rPr>
          <w:rFonts w:ascii="Times New Roman" w:hAnsi="Times New Roman" w:cs="Times New Roman"/>
          <w:sz w:val="20"/>
          <w:szCs w:val="20"/>
        </w:rPr>
        <w:t>), la asimetría en las TTM  eleva las utilidades esperadas por l</w:t>
      </w:r>
      <w:r w:rsidR="0082577A">
        <w:rPr>
          <w:rFonts w:ascii="Times New Roman" w:hAnsi="Times New Roman" w:cs="Times New Roman"/>
          <w:sz w:val="20"/>
          <w:szCs w:val="20"/>
        </w:rPr>
        <w:t xml:space="preserve">os entrantes y por tanto, crea </w:t>
      </w:r>
      <w:r w:rsidR="000B43A7" w:rsidRPr="003E391B">
        <w:rPr>
          <w:rFonts w:ascii="Times New Roman" w:hAnsi="Times New Roman" w:cs="Times New Roman"/>
          <w:sz w:val="20"/>
          <w:szCs w:val="20"/>
        </w:rPr>
        <w:t xml:space="preserve">incentivos a </w:t>
      </w:r>
      <w:r w:rsidR="00202F7A">
        <w:rPr>
          <w:rFonts w:ascii="Times New Roman" w:hAnsi="Times New Roman" w:cs="Times New Roman"/>
          <w:sz w:val="20"/>
          <w:szCs w:val="20"/>
        </w:rPr>
        <w:t xml:space="preserve">la entrada de nuevas empresas, </w:t>
      </w:r>
      <w:r w:rsidR="000B43A7" w:rsidRPr="003E391B">
        <w:rPr>
          <w:rFonts w:ascii="Times New Roman" w:hAnsi="Times New Roman" w:cs="Times New Roman"/>
          <w:sz w:val="20"/>
          <w:szCs w:val="20"/>
        </w:rPr>
        <w:t xml:space="preserve">fortaleciendo la competencia en el mercado. Además, </w:t>
      </w:r>
      <w:r w:rsidR="0082577A">
        <w:rPr>
          <w:rFonts w:ascii="Times New Roman" w:hAnsi="Times New Roman" w:cs="Times New Roman"/>
          <w:sz w:val="20"/>
          <w:szCs w:val="20"/>
        </w:rPr>
        <w:t xml:space="preserve">se dan las condiciones para que </w:t>
      </w:r>
      <w:r w:rsidR="000B43A7" w:rsidRPr="003E391B">
        <w:rPr>
          <w:rFonts w:ascii="Times New Roman" w:hAnsi="Times New Roman" w:cs="Times New Roman"/>
          <w:sz w:val="20"/>
          <w:szCs w:val="20"/>
        </w:rPr>
        <w:t>los entrantes ten</w:t>
      </w:r>
      <w:r w:rsidR="0082577A">
        <w:rPr>
          <w:rFonts w:ascii="Times New Roman" w:hAnsi="Times New Roman" w:cs="Times New Roman"/>
          <w:sz w:val="20"/>
          <w:szCs w:val="20"/>
        </w:rPr>
        <w:t>gan</w:t>
      </w:r>
      <w:r w:rsidR="000B43A7" w:rsidRPr="003E391B">
        <w:rPr>
          <w:rFonts w:ascii="Times New Roman" w:hAnsi="Times New Roman" w:cs="Times New Roman"/>
          <w:sz w:val="20"/>
          <w:szCs w:val="20"/>
        </w:rPr>
        <w:t xml:space="preserve"> incentivos a bajar los precios al usuario final, para aumentar su participación de mercado y el número de llamadas que terminan en su red. Lo anterior, en virtud de que los mayores pagos que reciben por los servicios de mayoreo compensan la reducción en los precios al consumidor.</w:t>
      </w:r>
      <w:r w:rsidR="000B43A7" w:rsidRPr="003E391B">
        <w:rPr>
          <w:rFonts w:ascii="Times New Roman" w:hAnsi="Times New Roman" w:cs="Times New Roman"/>
          <w:color w:val="FF0000"/>
          <w:sz w:val="20"/>
          <w:szCs w:val="20"/>
        </w:rPr>
        <w:t xml:space="preserve"> </w:t>
      </w:r>
    </w:p>
    <w:p w:rsidR="000B43A7" w:rsidRPr="003E391B" w:rsidRDefault="00472E26" w:rsidP="00C36258">
      <w:pPr>
        <w:spacing w:after="0" w:line="240" w:lineRule="auto"/>
        <w:jc w:val="both"/>
        <w:rPr>
          <w:rFonts w:ascii="Times New Roman" w:hAnsi="Times New Roman" w:cs="Times New Roman"/>
          <w:sz w:val="20"/>
          <w:szCs w:val="20"/>
        </w:rPr>
      </w:pPr>
      <w:r w:rsidRPr="003E391B">
        <w:rPr>
          <w:rFonts w:ascii="Times New Roman" w:hAnsi="Times New Roman" w:cs="Times New Roman"/>
          <w:sz w:val="20"/>
          <w:szCs w:val="20"/>
        </w:rPr>
        <w:t xml:space="preserve"> </w:t>
      </w:r>
      <w:r w:rsidR="007E7C4E" w:rsidRPr="003E391B">
        <w:rPr>
          <w:rFonts w:ascii="Times New Roman" w:hAnsi="Times New Roman" w:cs="Times New Roman"/>
          <w:sz w:val="20"/>
          <w:szCs w:val="20"/>
        </w:rPr>
        <w:t xml:space="preserve"> </w:t>
      </w:r>
    </w:p>
    <w:p w:rsidR="007E7C4E" w:rsidRPr="003E391B" w:rsidRDefault="000B43A7" w:rsidP="00C36258">
      <w:pPr>
        <w:spacing w:after="0" w:line="240" w:lineRule="auto"/>
        <w:jc w:val="both"/>
        <w:rPr>
          <w:rFonts w:ascii="Times New Roman" w:hAnsi="Times New Roman" w:cs="Times New Roman"/>
          <w:sz w:val="20"/>
          <w:szCs w:val="20"/>
        </w:rPr>
      </w:pPr>
      <w:proofErr w:type="spellStart"/>
      <w:r w:rsidRPr="003E391B">
        <w:rPr>
          <w:rFonts w:ascii="Times New Roman" w:hAnsi="Times New Roman" w:cs="Times New Roman"/>
          <w:sz w:val="20"/>
          <w:szCs w:val="20"/>
        </w:rPr>
        <w:t>Baranes</w:t>
      </w:r>
      <w:proofErr w:type="spellEnd"/>
      <w:r w:rsidRPr="003E391B">
        <w:rPr>
          <w:rFonts w:ascii="Times New Roman" w:hAnsi="Times New Roman" w:cs="Times New Roman"/>
          <w:sz w:val="20"/>
          <w:szCs w:val="20"/>
        </w:rPr>
        <w:t xml:space="preserve"> et al (2011</w:t>
      </w:r>
      <w:r w:rsidR="00174108">
        <w:rPr>
          <w:rFonts w:ascii="Times New Roman" w:hAnsi="Times New Roman" w:cs="Times New Roman"/>
          <w:sz w:val="20"/>
          <w:szCs w:val="20"/>
        </w:rPr>
        <w:t xml:space="preserve"> a y b</w:t>
      </w:r>
      <w:r w:rsidRPr="003E391B">
        <w:rPr>
          <w:rFonts w:ascii="Times New Roman" w:hAnsi="Times New Roman" w:cs="Times New Roman"/>
          <w:sz w:val="20"/>
          <w:szCs w:val="20"/>
        </w:rPr>
        <w:t xml:space="preserve">) </w:t>
      </w:r>
      <w:r w:rsidR="00B3208D" w:rsidRPr="003E391B">
        <w:rPr>
          <w:rFonts w:ascii="Times New Roman" w:hAnsi="Times New Roman" w:cs="Times New Roman"/>
          <w:sz w:val="20"/>
          <w:szCs w:val="20"/>
        </w:rPr>
        <w:t xml:space="preserve"> </w:t>
      </w:r>
      <w:r w:rsidR="00CD2090" w:rsidRPr="003E391B">
        <w:rPr>
          <w:rFonts w:ascii="Times New Roman" w:hAnsi="Times New Roman" w:cs="Times New Roman"/>
          <w:sz w:val="20"/>
          <w:szCs w:val="20"/>
        </w:rPr>
        <w:t>demuestran que cuando</w:t>
      </w:r>
      <w:r w:rsidR="00B3208D" w:rsidRPr="003E391B">
        <w:rPr>
          <w:rFonts w:ascii="Times New Roman" w:hAnsi="Times New Roman" w:cs="Times New Roman"/>
          <w:sz w:val="20"/>
          <w:szCs w:val="20"/>
        </w:rPr>
        <w:t xml:space="preserve"> </w:t>
      </w:r>
      <w:r w:rsidR="00CD2090" w:rsidRPr="003E391B">
        <w:rPr>
          <w:rFonts w:ascii="Times New Roman" w:hAnsi="Times New Roman" w:cs="Times New Roman"/>
          <w:sz w:val="20"/>
          <w:szCs w:val="20"/>
        </w:rPr>
        <w:t>los operadores entrantes</w:t>
      </w:r>
      <w:r w:rsidR="007E7C4E" w:rsidRPr="003E391B">
        <w:rPr>
          <w:rFonts w:ascii="Times New Roman" w:hAnsi="Times New Roman" w:cs="Times New Roman"/>
          <w:sz w:val="20"/>
          <w:szCs w:val="20"/>
        </w:rPr>
        <w:t xml:space="preserve"> </w:t>
      </w:r>
      <w:r w:rsidR="003E391B">
        <w:rPr>
          <w:rFonts w:ascii="Times New Roman" w:hAnsi="Times New Roman" w:cs="Times New Roman"/>
          <w:sz w:val="20"/>
          <w:szCs w:val="20"/>
        </w:rPr>
        <w:t>pagan TTM má</w:t>
      </w:r>
      <w:r w:rsidRPr="003E391B">
        <w:rPr>
          <w:rFonts w:ascii="Times New Roman" w:hAnsi="Times New Roman" w:cs="Times New Roman"/>
          <w:sz w:val="20"/>
          <w:szCs w:val="20"/>
        </w:rPr>
        <w:t xml:space="preserve">s bajas que las que cobran al </w:t>
      </w:r>
      <w:r w:rsidR="00202F7A">
        <w:rPr>
          <w:rFonts w:ascii="Times New Roman" w:hAnsi="Times New Roman" w:cs="Times New Roman"/>
          <w:sz w:val="20"/>
          <w:szCs w:val="20"/>
        </w:rPr>
        <w:t xml:space="preserve">operador </w:t>
      </w:r>
      <w:r w:rsidR="000C0221" w:rsidRPr="003E391B">
        <w:rPr>
          <w:rFonts w:ascii="Times New Roman" w:hAnsi="Times New Roman" w:cs="Times New Roman"/>
          <w:sz w:val="20"/>
          <w:szCs w:val="20"/>
        </w:rPr>
        <w:t>preponderante</w:t>
      </w:r>
      <w:r w:rsidR="00F46AEB" w:rsidRPr="003E391B">
        <w:rPr>
          <w:rFonts w:ascii="Times New Roman" w:hAnsi="Times New Roman" w:cs="Times New Roman"/>
          <w:sz w:val="20"/>
          <w:szCs w:val="20"/>
        </w:rPr>
        <w:t xml:space="preserve"> móvil</w:t>
      </w:r>
      <w:r w:rsidR="007E7C4E" w:rsidRPr="003E391B">
        <w:rPr>
          <w:rFonts w:ascii="Times New Roman" w:hAnsi="Times New Roman" w:cs="Times New Roman"/>
          <w:sz w:val="20"/>
          <w:szCs w:val="20"/>
        </w:rPr>
        <w:t>:</w:t>
      </w:r>
    </w:p>
    <w:p w:rsidR="007E7C4E" w:rsidRPr="003E391B" w:rsidRDefault="007E7C4E" w:rsidP="003E391B">
      <w:pPr>
        <w:pStyle w:val="Prrafodelista"/>
        <w:numPr>
          <w:ilvl w:val="0"/>
          <w:numId w:val="48"/>
        </w:numPr>
        <w:spacing w:after="80" w:line="240" w:lineRule="auto"/>
        <w:ind w:left="193" w:hanging="193"/>
        <w:jc w:val="both"/>
        <w:rPr>
          <w:rFonts w:ascii="Times New Roman" w:hAnsi="Times New Roman" w:cs="Times New Roman"/>
          <w:sz w:val="20"/>
          <w:szCs w:val="20"/>
        </w:rPr>
      </w:pPr>
      <w:r w:rsidRPr="003E391B">
        <w:rPr>
          <w:rFonts w:ascii="Times New Roman" w:hAnsi="Times New Roman" w:cs="Times New Roman"/>
          <w:sz w:val="20"/>
          <w:szCs w:val="20"/>
        </w:rPr>
        <w:t xml:space="preserve">Los operadores entrantes </w:t>
      </w:r>
      <w:r w:rsidR="00472E26" w:rsidRPr="003E391B">
        <w:rPr>
          <w:rFonts w:ascii="Times New Roman" w:hAnsi="Times New Roman" w:cs="Times New Roman"/>
          <w:sz w:val="20"/>
          <w:szCs w:val="20"/>
        </w:rPr>
        <w:t>redujeron</w:t>
      </w:r>
      <w:r w:rsidR="00977D69" w:rsidRPr="003E391B">
        <w:rPr>
          <w:rFonts w:ascii="Times New Roman" w:hAnsi="Times New Roman" w:cs="Times New Roman"/>
          <w:sz w:val="20"/>
          <w:szCs w:val="20"/>
        </w:rPr>
        <w:t xml:space="preserve"> sus precios al menudeo </w:t>
      </w:r>
      <w:r w:rsidR="00CD2090" w:rsidRPr="003E391B">
        <w:rPr>
          <w:rFonts w:ascii="Times New Roman" w:hAnsi="Times New Roman" w:cs="Times New Roman"/>
          <w:sz w:val="20"/>
          <w:szCs w:val="20"/>
        </w:rPr>
        <w:t>para aumentar su clientela y, por ende, su participación de mercado.</w:t>
      </w:r>
      <w:r w:rsidR="00472E26" w:rsidRPr="003E391B">
        <w:rPr>
          <w:rFonts w:ascii="Times New Roman" w:hAnsi="Times New Roman" w:cs="Times New Roman"/>
          <w:sz w:val="20"/>
          <w:szCs w:val="20"/>
        </w:rPr>
        <w:t xml:space="preserve"> Específicamente, al bajar en 1% la TTM el precio promedio de menudeo bajó hasta en 0.27%</w:t>
      </w:r>
      <w:r w:rsidR="00472E26" w:rsidRPr="003E391B">
        <w:rPr>
          <w:rStyle w:val="Refdenotaalpie"/>
          <w:rFonts w:ascii="Times New Roman" w:hAnsi="Times New Roman" w:cs="Times New Roman"/>
          <w:sz w:val="20"/>
          <w:szCs w:val="20"/>
        </w:rPr>
        <w:footnoteReference w:id="8"/>
      </w:r>
    </w:p>
    <w:p w:rsidR="007E7C4E" w:rsidRPr="003E391B" w:rsidRDefault="003312ED" w:rsidP="003E391B">
      <w:pPr>
        <w:pStyle w:val="Prrafodelista"/>
        <w:numPr>
          <w:ilvl w:val="0"/>
          <w:numId w:val="48"/>
        </w:numPr>
        <w:spacing w:after="80" w:line="240" w:lineRule="auto"/>
        <w:ind w:left="193" w:hanging="193"/>
        <w:jc w:val="both"/>
        <w:rPr>
          <w:rFonts w:ascii="Times New Roman" w:hAnsi="Times New Roman" w:cs="Times New Roman"/>
          <w:sz w:val="20"/>
          <w:szCs w:val="20"/>
        </w:rPr>
      </w:pPr>
      <w:r w:rsidRPr="003E391B">
        <w:rPr>
          <w:rFonts w:ascii="Times New Roman" w:hAnsi="Times New Roman" w:cs="Times New Roman"/>
          <w:sz w:val="20"/>
          <w:szCs w:val="20"/>
        </w:rPr>
        <w:t>L</w:t>
      </w:r>
      <w:r w:rsidR="00773A80" w:rsidRPr="003E391B">
        <w:rPr>
          <w:rFonts w:ascii="Times New Roman" w:hAnsi="Times New Roman" w:cs="Times New Roman"/>
          <w:sz w:val="20"/>
          <w:szCs w:val="20"/>
        </w:rPr>
        <w:t>as TTM</w:t>
      </w:r>
      <w:r w:rsidR="00CD2090" w:rsidRPr="003E391B">
        <w:rPr>
          <w:rFonts w:ascii="Times New Roman" w:hAnsi="Times New Roman" w:cs="Times New Roman"/>
          <w:sz w:val="20"/>
          <w:szCs w:val="20"/>
        </w:rPr>
        <w:t xml:space="preserve"> asimétrica</w:t>
      </w:r>
      <w:r w:rsidR="00773A80" w:rsidRPr="003E391B">
        <w:rPr>
          <w:rFonts w:ascii="Times New Roman" w:hAnsi="Times New Roman" w:cs="Times New Roman"/>
          <w:sz w:val="20"/>
          <w:szCs w:val="20"/>
        </w:rPr>
        <w:t>s</w:t>
      </w:r>
      <w:r w:rsidR="00CD2090" w:rsidRPr="003E391B">
        <w:rPr>
          <w:rFonts w:ascii="Times New Roman" w:hAnsi="Times New Roman" w:cs="Times New Roman"/>
          <w:sz w:val="20"/>
          <w:szCs w:val="20"/>
        </w:rPr>
        <w:t xml:space="preserve"> </w:t>
      </w:r>
      <w:r w:rsidR="00773A80" w:rsidRPr="003E391B">
        <w:rPr>
          <w:rFonts w:ascii="Times New Roman" w:hAnsi="Times New Roman" w:cs="Times New Roman"/>
          <w:sz w:val="20"/>
          <w:szCs w:val="20"/>
        </w:rPr>
        <w:t>incrementaron</w:t>
      </w:r>
      <w:r w:rsidR="00035E0B" w:rsidRPr="003E391B">
        <w:rPr>
          <w:rFonts w:ascii="Times New Roman" w:hAnsi="Times New Roman" w:cs="Times New Roman"/>
          <w:sz w:val="20"/>
          <w:szCs w:val="20"/>
        </w:rPr>
        <w:t xml:space="preserve"> </w:t>
      </w:r>
      <w:r w:rsidR="00CD2090" w:rsidRPr="003E391B">
        <w:rPr>
          <w:rFonts w:ascii="Times New Roman" w:hAnsi="Times New Roman" w:cs="Times New Roman"/>
          <w:sz w:val="20"/>
          <w:szCs w:val="20"/>
        </w:rPr>
        <w:t xml:space="preserve">la penetración de los operadores </w:t>
      </w:r>
      <w:r w:rsidR="001E073F" w:rsidRPr="003E391B">
        <w:rPr>
          <w:rFonts w:ascii="Times New Roman" w:hAnsi="Times New Roman" w:cs="Times New Roman"/>
          <w:sz w:val="20"/>
          <w:szCs w:val="20"/>
        </w:rPr>
        <w:t xml:space="preserve">entrantes y la competencia en </w:t>
      </w:r>
      <w:r w:rsidR="00CD2090" w:rsidRPr="003E391B">
        <w:rPr>
          <w:rFonts w:ascii="Times New Roman" w:hAnsi="Times New Roman" w:cs="Times New Roman"/>
          <w:sz w:val="20"/>
          <w:szCs w:val="20"/>
        </w:rPr>
        <w:t>el mercado de co</w:t>
      </w:r>
      <w:r w:rsidR="00422F09" w:rsidRPr="003E391B">
        <w:rPr>
          <w:rFonts w:ascii="Times New Roman" w:hAnsi="Times New Roman" w:cs="Times New Roman"/>
          <w:sz w:val="20"/>
          <w:szCs w:val="20"/>
        </w:rPr>
        <w:t xml:space="preserve">municaciones móviles en Europa en el corto y el largo plazo. </w:t>
      </w:r>
    </w:p>
    <w:p w:rsidR="00035E0B" w:rsidRPr="003E391B" w:rsidRDefault="00202F7A" w:rsidP="003E391B">
      <w:pPr>
        <w:pStyle w:val="Prrafodelista"/>
        <w:numPr>
          <w:ilvl w:val="0"/>
          <w:numId w:val="48"/>
        </w:numPr>
        <w:spacing w:after="80" w:line="240" w:lineRule="auto"/>
        <w:ind w:left="193" w:hanging="193"/>
        <w:jc w:val="both"/>
        <w:rPr>
          <w:rFonts w:ascii="Times New Roman" w:hAnsi="Times New Roman" w:cs="Times New Roman"/>
          <w:sz w:val="20"/>
          <w:szCs w:val="20"/>
        </w:rPr>
      </w:pPr>
      <w:r>
        <w:rPr>
          <w:rFonts w:ascii="Times New Roman" w:hAnsi="Times New Roman" w:cs="Times New Roman"/>
          <w:sz w:val="20"/>
          <w:szCs w:val="20"/>
        </w:rPr>
        <w:t>La rentabilidad de los operadores dominantes disminuyó</w:t>
      </w:r>
      <w:r w:rsidR="00035E0B" w:rsidRPr="003E391B">
        <w:rPr>
          <w:rFonts w:ascii="Times New Roman" w:hAnsi="Times New Roman" w:cs="Times New Roman"/>
          <w:sz w:val="20"/>
          <w:szCs w:val="20"/>
        </w:rPr>
        <w:t xml:space="preserve"> y la</w:t>
      </w:r>
      <w:r>
        <w:rPr>
          <w:rFonts w:ascii="Times New Roman" w:hAnsi="Times New Roman" w:cs="Times New Roman"/>
          <w:sz w:val="20"/>
          <w:szCs w:val="20"/>
        </w:rPr>
        <w:t xml:space="preserve"> de los entrantes aumentó</w:t>
      </w:r>
      <w:r w:rsidR="00035E0B" w:rsidRPr="003E391B">
        <w:rPr>
          <w:rFonts w:ascii="Times New Roman" w:hAnsi="Times New Roman" w:cs="Times New Roman"/>
          <w:sz w:val="20"/>
          <w:szCs w:val="20"/>
        </w:rPr>
        <w:t>.</w:t>
      </w:r>
    </w:p>
    <w:p w:rsidR="00175909" w:rsidRPr="003E391B" w:rsidRDefault="007E7C4E" w:rsidP="003E391B">
      <w:pPr>
        <w:pStyle w:val="Prrafodelista"/>
        <w:numPr>
          <w:ilvl w:val="0"/>
          <w:numId w:val="48"/>
        </w:numPr>
        <w:spacing w:after="80" w:line="240" w:lineRule="auto"/>
        <w:ind w:left="193" w:hanging="193"/>
        <w:jc w:val="both"/>
        <w:rPr>
          <w:rFonts w:ascii="Times New Roman" w:hAnsi="Times New Roman" w:cs="Times New Roman"/>
          <w:sz w:val="20"/>
          <w:szCs w:val="20"/>
        </w:rPr>
      </w:pPr>
      <w:r w:rsidRPr="003E391B">
        <w:rPr>
          <w:rFonts w:ascii="Times New Roman" w:hAnsi="Times New Roman" w:cs="Times New Roman"/>
          <w:sz w:val="20"/>
          <w:szCs w:val="20"/>
        </w:rPr>
        <w:t>Los efectos fueron aún má</w:t>
      </w:r>
      <w:r w:rsidR="00422F09" w:rsidRPr="003E391B">
        <w:rPr>
          <w:rFonts w:ascii="Times New Roman" w:hAnsi="Times New Roman" w:cs="Times New Roman"/>
          <w:sz w:val="20"/>
          <w:szCs w:val="20"/>
        </w:rPr>
        <w:t xml:space="preserve">s relevantes, </w:t>
      </w:r>
      <w:r w:rsidRPr="003E391B">
        <w:rPr>
          <w:rFonts w:ascii="Times New Roman" w:hAnsi="Times New Roman" w:cs="Times New Roman"/>
          <w:sz w:val="20"/>
          <w:szCs w:val="20"/>
        </w:rPr>
        <w:t xml:space="preserve">en los países en los que </w:t>
      </w:r>
      <w:r w:rsidR="00773A80" w:rsidRPr="003E391B">
        <w:rPr>
          <w:rFonts w:ascii="Times New Roman" w:hAnsi="Times New Roman" w:cs="Times New Roman"/>
          <w:sz w:val="20"/>
          <w:szCs w:val="20"/>
        </w:rPr>
        <w:t xml:space="preserve">tanto el </w:t>
      </w:r>
      <w:r w:rsidR="000C0221" w:rsidRPr="003E391B">
        <w:rPr>
          <w:rFonts w:ascii="Times New Roman" w:hAnsi="Times New Roman" w:cs="Times New Roman"/>
          <w:sz w:val="20"/>
          <w:szCs w:val="20"/>
        </w:rPr>
        <w:t>preponderante</w:t>
      </w:r>
      <w:r w:rsidR="00773A80" w:rsidRPr="003E391B">
        <w:rPr>
          <w:rFonts w:ascii="Times New Roman" w:hAnsi="Times New Roman" w:cs="Times New Roman"/>
          <w:sz w:val="20"/>
          <w:szCs w:val="20"/>
        </w:rPr>
        <w:t xml:space="preserve"> como los entrantes bajaron</w:t>
      </w:r>
      <w:r w:rsidR="00422F09" w:rsidRPr="003E391B">
        <w:rPr>
          <w:rFonts w:ascii="Times New Roman" w:hAnsi="Times New Roman" w:cs="Times New Roman"/>
          <w:sz w:val="20"/>
          <w:szCs w:val="20"/>
        </w:rPr>
        <w:t xml:space="preserve"> sus TTM</w:t>
      </w:r>
      <w:r w:rsidR="00B25D31" w:rsidRPr="003E391B">
        <w:rPr>
          <w:rStyle w:val="Refdenotaalpie"/>
          <w:rFonts w:ascii="Times New Roman" w:hAnsi="Times New Roman" w:cs="Times New Roman"/>
          <w:sz w:val="20"/>
          <w:szCs w:val="20"/>
        </w:rPr>
        <w:footnoteReference w:id="9"/>
      </w:r>
      <w:r w:rsidR="00422F09" w:rsidRPr="003E391B">
        <w:rPr>
          <w:rFonts w:ascii="Times New Roman" w:hAnsi="Times New Roman" w:cs="Times New Roman"/>
          <w:sz w:val="20"/>
          <w:szCs w:val="20"/>
        </w:rPr>
        <w:t>.</w:t>
      </w:r>
    </w:p>
    <w:p w:rsidR="00382204" w:rsidRPr="003E391B" w:rsidRDefault="0023769E" w:rsidP="000C0221">
      <w:pPr>
        <w:spacing w:after="120" w:line="240" w:lineRule="auto"/>
        <w:jc w:val="both"/>
        <w:rPr>
          <w:rFonts w:ascii="Times New Roman" w:hAnsi="Times New Roman" w:cs="Times New Roman"/>
          <w:sz w:val="20"/>
          <w:szCs w:val="20"/>
        </w:rPr>
      </w:pPr>
      <w:r w:rsidRPr="003E391B">
        <w:rPr>
          <w:rFonts w:ascii="Times New Roman" w:hAnsi="Times New Roman" w:cs="Times New Roman"/>
          <w:sz w:val="20"/>
          <w:szCs w:val="20"/>
        </w:rPr>
        <w:t>De acuerdo con</w:t>
      </w:r>
      <w:r w:rsidR="00993AF5" w:rsidRPr="003E391B">
        <w:rPr>
          <w:rFonts w:ascii="Times New Roman" w:hAnsi="Times New Roman" w:cs="Times New Roman"/>
          <w:sz w:val="20"/>
          <w:szCs w:val="20"/>
        </w:rPr>
        <w:t xml:space="preserve"> </w:t>
      </w:r>
      <w:proofErr w:type="spellStart"/>
      <w:r w:rsidR="00993AF5" w:rsidRPr="003E391B">
        <w:rPr>
          <w:rFonts w:ascii="Times New Roman" w:hAnsi="Times New Roman" w:cs="Times New Roman"/>
          <w:sz w:val="20"/>
          <w:szCs w:val="20"/>
        </w:rPr>
        <w:t>Baranes</w:t>
      </w:r>
      <w:proofErr w:type="spellEnd"/>
      <w:r w:rsidR="00993AF5" w:rsidRPr="003E391B">
        <w:rPr>
          <w:rFonts w:ascii="Times New Roman" w:hAnsi="Times New Roman" w:cs="Times New Roman"/>
          <w:sz w:val="20"/>
          <w:szCs w:val="20"/>
        </w:rPr>
        <w:t xml:space="preserve"> et al (2011</w:t>
      </w:r>
      <w:r w:rsidR="00576CC5" w:rsidRPr="003E391B">
        <w:rPr>
          <w:rFonts w:ascii="Times New Roman" w:hAnsi="Times New Roman" w:cs="Times New Roman"/>
          <w:sz w:val="20"/>
          <w:szCs w:val="20"/>
        </w:rPr>
        <w:t>b</w:t>
      </w:r>
      <w:r w:rsidR="00993AF5" w:rsidRPr="003E391B">
        <w:rPr>
          <w:rFonts w:ascii="Times New Roman" w:hAnsi="Times New Roman" w:cs="Times New Roman"/>
          <w:sz w:val="20"/>
          <w:szCs w:val="20"/>
        </w:rPr>
        <w:t>)</w:t>
      </w:r>
      <w:r w:rsidR="001E073F" w:rsidRPr="003E391B">
        <w:rPr>
          <w:rFonts w:ascii="Times New Roman" w:hAnsi="Times New Roman" w:cs="Times New Roman"/>
          <w:sz w:val="20"/>
          <w:szCs w:val="20"/>
        </w:rPr>
        <w:t xml:space="preserve"> l</w:t>
      </w:r>
      <w:r w:rsidR="00993AF5" w:rsidRPr="003E391B">
        <w:rPr>
          <w:rFonts w:ascii="Times New Roman" w:hAnsi="Times New Roman" w:cs="Times New Roman"/>
          <w:sz w:val="20"/>
          <w:szCs w:val="20"/>
        </w:rPr>
        <w:t>a eficacia de una política regulatoria debe reflejarse en</w:t>
      </w:r>
      <w:r w:rsidR="00035E0B" w:rsidRPr="003E391B">
        <w:rPr>
          <w:rFonts w:ascii="Times New Roman" w:hAnsi="Times New Roman" w:cs="Times New Roman"/>
          <w:sz w:val="20"/>
          <w:szCs w:val="20"/>
        </w:rPr>
        <w:t xml:space="preserve"> el desempeño de los operadores, el cual </w:t>
      </w:r>
      <w:r w:rsidR="004A7AB9" w:rsidRPr="003E391B">
        <w:rPr>
          <w:rFonts w:ascii="Times New Roman" w:hAnsi="Times New Roman" w:cs="Times New Roman"/>
          <w:sz w:val="20"/>
          <w:szCs w:val="20"/>
        </w:rPr>
        <w:t>se mide</w:t>
      </w:r>
      <w:r w:rsidR="00E248EF" w:rsidRPr="003E391B">
        <w:rPr>
          <w:rFonts w:ascii="Times New Roman" w:hAnsi="Times New Roman" w:cs="Times New Roman"/>
          <w:sz w:val="20"/>
          <w:szCs w:val="20"/>
        </w:rPr>
        <w:t xml:space="preserve"> a través de su rentabilidad</w:t>
      </w:r>
      <w:r w:rsidR="00035E0B" w:rsidRPr="003E391B">
        <w:rPr>
          <w:rFonts w:ascii="Times New Roman" w:hAnsi="Times New Roman" w:cs="Times New Roman"/>
          <w:sz w:val="20"/>
          <w:szCs w:val="20"/>
        </w:rPr>
        <w:t xml:space="preserve"> y de sus participaciones de mercado. </w:t>
      </w:r>
      <w:r w:rsidR="001E073F" w:rsidRPr="003E391B">
        <w:rPr>
          <w:rFonts w:ascii="Times New Roman" w:hAnsi="Times New Roman" w:cs="Times New Roman"/>
          <w:sz w:val="20"/>
          <w:szCs w:val="20"/>
        </w:rPr>
        <w:t xml:space="preserve"> </w:t>
      </w:r>
      <w:r w:rsidR="000C3F94" w:rsidRPr="003E391B">
        <w:rPr>
          <w:rFonts w:ascii="Times New Roman" w:hAnsi="Times New Roman" w:cs="Times New Roman"/>
          <w:sz w:val="20"/>
          <w:szCs w:val="20"/>
        </w:rPr>
        <w:t xml:space="preserve">Además, el desempeño de un operador en el </w:t>
      </w:r>
      <w:r w:rsidR="00977D69" w:rsidRPr="003E391B">
        <w:rPr>
          <w:rFonts w:ascii="Times New Roman" w:hAnsi="Times New Roman" w:cs="Times New Roman"/>
          <w:sz w:val="20"/>
          <w:szCs w:val="20"/>
        </w:rPr>
        <w:t>mercado, dependerá de su desempe</w:t>
      </w:r>
      <w:r w:rsidR="000C3F94" w:rsidRPr="003E391B">
        <w:rPr>
          <w:rFonts w:ascii="Times New Roman" w:hAnsi="Times New Roman" w:cs="Times New Roman"/>
          <w:sz w:val="20"/>
          <w:szCs w:val="20"/>
        </w:rPr>
        <w:t xml:space="preserve">ño en los periodos inmediatos anteriores.  </w:t>
      </w:r>
    </w:p>
    <w:p w:rsidR="000C3F94" w:rsidRPr="003E391B" w:rsidRDefault="000C3F94" w:rsidP="000C0221">
      <w:pPr>
        <w:spacing w:after="120" w:line="240" w:lineRule="auto"/>
        <w:jc w:val="both"/>
        <w:rPr>
          <w:rFonts w:ascii="Times New Roman" w:hAnsi="Times New Roman" w:cs="Times New Roman"/>
          <w:sz w:val="20"/>
          <w:szCs w:val="20"/>
        </w:rPr>
      </w:pPr>
    </w:p>
    <w:p w:rsidR="00C36258" w:rsidRDefault="006C5565" w:rsidP="000C0221">
      <w:pPr>
        <w:spacing w:after="120" w:line="240" w:lineRule="auto"/>
        <w:jc w:val="both"/>
        <w:rPr>
          <w:rFonts w:ascii="Times New Roman" w:hAnsi="Times New Roman" w:cs="Times New Roman"/>
          <w:sz w:val="24"/>
          <w:szCs w:val="24"/>
        </w:rPr>
      </w:pPr>
      <w:r w:rsidRPr="00C36258">
        <w:rPr>
          <w:rFonts w:ascii="Arial" w:hAnsi="Arial" w:cs="Arial"/>
          <w:b/>
          <w:caps/>
          <w:sz w:val="18"/>
          <w:szCs w:val="18"/>
        </w:rPr>
        <w:t>Revisión Bibliográfica</w:t>
      </w:r>
      <w:r w:rsidRPr="007238F6">
        <w:rPr>
          <w:rFonts w:ascii="Times New Roman" w:hAnsi="Times New Roman" w:cs="Times New Roman"/>
          <w:sz w:val="24"/>
          <w:szCs w:val="24"/>
        </w:rPr>
        <w:t xml:space="preserve"> </w:t>
      </w:r>
    </w:p>
    <w:p w:rsidR="006C5565" w:rsidRPr="003E391B" w:rsidRDefault="00174108" w:rsidP="00C36258">
      <w:pPr>
        <w:spacing w:after="0" w:line="240" w:lineRule="auto"/>
        <w:jc w:val="both"/>
        <w:rPr>
          <w:rFonts w:ascii="Times New Roman" w:hAnsi="Times New Roman" w:cs="Times New Roman"/>
          <w:bCs/>
          <w:color w:val="000000" w:themeColor="text1"/>
          <w:sz w:val="20"/>
          <w:szCs w:val="20"/>
        </w:rPr>
      </w:pPr>
      <w:proofErr w:type="spellStart"/>
      <w:r>
        <w:rPr>
          <w:rFonts w:ascii="Times New Roman" w:hAnsi="Times New Roman" w:cs="Times New Roman"/>
          <w:color w:val="000000" w:themeColor="text1"/>
          <w:sz w:val="20"/>
          <w:szCs w:val="20"/>
        </w:rPr>
        <w:t>Peitz</w:t>
      </w:r>
      <w:proofErr w:type="spellEnd"/>
      <w:r>
        <w:rPr>
          <w:rFonts w:ascii="Times New Roman" w:hAnsi="Times New Roman" w:cs="Times New Roman"/>
          <w:color w:val="000000" w:themeColor="text1"/>
          <w:sz w:val="20"/>
          <w:szCs w:val="20"/>
        </w:rPr>
        <w:t xml:space="preserve"> (2005a</w:t>
      </w:r>
      <w:r w:rsidR="006C5565" w:rsidRPr="003E391B">
        <w:rPr>
          <w:rFonts w:ascii="Times New Roman" w:hAnsi="Times New Roman" w:cs="Times New Roman"/>
          <w:color w:val="000000" w:themeColor="text1"/>
          <w:sz w:val="20"/>
          <w:szCs w:val="20"/>
        </w:rPr>
        <w:t xml:space="preserve">) y </w:t>
      </w:r>
      <w:proofErr w:type="spellStart"/>
      <w:r w:rsidR="006C5565" w:rsidRPr="003E391B">
        <w:rPr>
          <w:rFonts w:ascii="Times New Roman" w:hAnsi="Times New Roman" w:cs="Times New Roman"/>
          <w:color w:val="000000" w:themeColor="text1"/>
          <w:sz w:val="20"/>
          <w:szCs w:val="20"/>
        </w:rPr>
        <w:t>Baranes</w:t>
      </w:r>
      <w:proofErr w:type="spellEnd"/>
      <w:r w:rsidR="006C5565" w:rsidRPr="003E391B">
        <w:rPr>
          <w:rFonts w:ascii="Times New Roman" w:hAnsi="Times New Roman" w:cs="Times New Roman"/>
          <w:color w:val="000000" w:themeColor="text1"/>
          <w:sz w:val="20"/>
          <w:szCs w:val="20"/>
        </w:rPr>
        <w:t xml:space="preserve"> et al (2011</w:t>
      </w:r>
      <w:r w:rsidR="00576CC5" w:rsidRPr="003E391B">
        <w:rPr>
          <w:rFonts w:ascii="Times New Roman" w:hAnsi="Times New Roman" w:cs="Times New Roman"/>
          <w:color w:val="000000" w:themeColor="text1"/>
          <w:sz w:val="20"/>
          <w:szCs w:val="20"/>
        </w:rPr>
        <w:t>b</w:t>
      </w:r>
      <w:r w:rsidR="006C5565" w:rsidRPr="003E391B">
        <w:rPr>
          <w:rFonts w:ascii="Times New Roman" w:hAnsi="Times New Roman" w:cs="Times New Roman"/>
          <w:color w:val="000000" w:themeColor="text1"/>
          <w:sz w:val="20"/>
          <w:szCs w:val="20"/>
        </w:rPr>
        <w:t>) concluyen que la aplicación de regulación asimétrica puede tener beneficios importantes ya que s</w:t>
      </w:r>
      <w:r w:rsidR="006C5565" w:rsidRPr="003E391B">
        <w:rPr>
          <w:rFonts w:ascii="Times New Roman" w:hAnsi="Times New Roman" w:cs="Times New Roman"/>
          <w:bCs/>
          <w:color w:val="000000" w:themeColor="text1"/>
          <w:sz w:val="20"/>
          <w:szCs w:val="20"/>
        </w:rPr>
        <w:t xml:space="preserve">e reducen los precios </w:t>
      </w:r>
      <w:r w:rsidR="00226883" w:rsidRPr="003E391B">
        <w:rPr>
          <w:rFonts w:ascii="Times New Roman" w:hAnsi="Times New Roman" w:cs="Times New Roman"/>
          <w:bCs/>
          <w:color w:val="000000" w:themeColor="text1"/>
          <w:sz w:val="20"/>
          <w:szCs w:val="20"/>
        </w:rPr>
        <w:t>finales</w:t>
      </w:r>
      <w:r w:rsidR="006C5565" w:rsidRPr="003E391B">
        <w:rPr>
          <w:rFonts w:ascii="Times New Roman" w:hAnsi="Times New Roman" w:cs="Times New Roman"/>
          <w:bCs/>
          <w:color w:val="000000" w:themeColor="text1"/>
          <w:sz w:val="20"/>
          <w:szCs w:val="20"/>
        </w:rPr>
        <w:t xml:space="preserve"> y </w:t>
      </w:r>
      <w:r w:rsidR="00D61704">
        <w:rPr>
          <w:rFonts w:ascii="Times New Roman" w:hAnsi="Times New Roman" w:cs="Times New Roman"/>
          <w:bCs/>
          <w:color w:val="000000" w:themeColor="text1"/>
          <w:sz w:val="20"/>
          <w:szCs w:val="20"/>
        </w:rPr>
        <w:t>el consumo</w:t>
      </w:r>
      <w:r w:rsidR="006C5565" w:rsidRPr="003E391B">
        <w:rPr>
          <w:rFonts w:ascii="Times New Roman" w:hAnsi="Times New Roman" w:cs="Times New Roman"/>
          <w:bCs/>
          <w:color w:val="000000" w:themeColor="text1"/>
          <w:sz w:val="20"/>
          <w:szCs w:val="20"/>
        </w:rPr>
        <w:t xml:space="preserve">; además, sube la rentabilidad del entrante, y </w:t>
      </w:r>
      <w:r>
        <w:rPr>
          <w:rFonts w:ascii="Times New Roman" w:hAnsi="Times New Roman" w:cs="Times New Roman"/>
          <w:bCs/>
          <w:color w:val="000000" w:themeColor="text1"/>
          <w:sz w:val="20"/>
          <w:szCs w:val="20"/>
        </w:rPr>
        <w:t xml:space="preserve">se fortalece </w:t>
      </w:r>
      <w:r w:rsidR="006C5565" w:rsidRPr="003E391B">
        <w:rPr>
          <w:rFonts w:ascii="Times New Roman" w:hAnsi="Times New Roman" w:cs="Times New Roman"/>
          <w:bCs/>
          <w:color w:val="000000" w:themeColor="text1"/>
          <w:sz w:val="20"/>
          <w:szCs w:val="20"/>
        </w:rPr>
        <w:t xml:space="preserve">la competencia en el largo plazo a través de la entrada permanente de nuevos operadores. </w:t>
      </w:r>
      <w:proofErr w:type="spellStart"/>
      <w:r w:rsidR="006C5565" w:rsidRPr="003E391B">
        <w:rPr>
          <w:rFonts w:ascii="Times New Roman" w:hAnsi="Times New Roman" w:cs="Times New Roman"/>
          <w:bCs/>
          <w:color w:val="000000" w:themeColor="text1"/>
          <w:sz w:val="20"/>
          <w:szCs w:val="20"/>
        </w:rPr>
        <w:t>Baranes</w:t>
      </w:r>
      <w:proofErr w:type="spellEnd"/>
      <w:r w:rsidR="006C5565" w:rsidRPr="003E391B">
        <w:rPr>
          <w:rFonts w:ascii="Times New Roman" w:hAnsi="Times New Roman" w:cs="Times New Roman"/>
          <w:bCs/>
          <w:color w:val="000000" w:themeColor="text1"/>
          <w:sz w:val="20"/>
          <w:szCs w:val="20"/>
        </w:rPr>
        <w:t xml:space="preserve"> et al (2011</w:t>
      </w:r>
      <w:r w:rsidR="00576CC5" w:rsidRPr="003E391B">
        <w:rPr>
          <w:rFonts w:ascii="Times New Roman" w:hAnsi="Times New Roman" w:cs="Times New Roman"/>
          <w:bCs/>
          <w:color w:val="000000" w:themeColor="text1"/>
          <w:sz w:val="20"/>
          <w:szCs w:val="20"/>
        </w:rPr>
        <w:t xml:space="preserve"> a y b</w:t>
      </w:r>
      <w:r w:rsidR="006C5565" w:rsidRPr="003E391B">
        <w:rPr>
          <w:rFonts w:ascii="Times New Roman" w:hAnsi="Times New Roman" w:cs="Times New Roman"/>
          <w:bCs/>
          <w:color w:val="000000" w:themeColor="text1"/>
          <w:sz w:val="20"/>
          <w:szCs w:val="20"/>
        </w:rPr>
        <w:t xml:space="preserve">) encuentran además que la participación de mercado de los entrantes aumenta.  </w:t>
      </w:r>
    </w:p>
    <w:p w:rsidR="006C5565" w:rsidRPr="003E391B" w:rsidRDefault="006C5565" w:rsidP="00C36258">
      <w:pPr>
        <w:spacing w:after="0" w:line="240" w:lineRule="auto"/>
        <w:jc w:val="both"/>
        <w:rPr>
          <w:rFonts w:ascii="Times New Roman" w:hAnsi="Times New Roman" w:cs="Times New Roman"/>
          <w:bCs/>
          <w:color w:val="000000" w:themeColor="text1"/>
          <w:sz w:val="20"/>
          <w:szCs w:val="20"/>
        </w:rPr>
      </w:pPr>
    </w:p>
    <w:p w:rsidR="006C5565" w:rsidRPr="00B05D76" w:rsidRDefault="006C5565" w:rsidP="00B05D76">
      <w:pPr>
        <w:spacing w:after="120" w:line="240" w:lineRule="auto"/>
        <w:jc w:val="both"/>
        <w:rPr>
          <w:rFonts w:ascii="Times New Roman" w:hAnsi="Times New Roman" w:cs="Times New Roman"/>
          <w:bCs/>
          <w:color w:val="000000" w:themeColor="text1"/>
          <w:sz w:val="20"/>
          <w:szCs w:val="20"/>
        </w:rPr>
      </w:pPr>
      <w:proofErr w:type="spellStart"/>
      <w:r w:rsidRPr="003E391B">
        <w:rPr>
          <w:rFonts w:ascii="Times New Roman" w:hAnsi="Times New Roman" w:cs="Times New Roman"/>
          <w:bCs/>
          <w:color w:val="000000" w:themeColor="text1"/>
          <w:sz w:val="20"/>
          <w:szCs w:val="20"/>
        </w:rPr>
        <w:t>Chou</w:t>
      </w:r>
      <w:proofErr w:type="spellEnd"/>
      <w:r w:rsidRPr="003E391B">
        <w:rPr>
          <w:rFonts w:ascii="Times New Roman" w:hAnsi="Times New Roman" w:cs="Times New Roman"/>
          <w:bCs/>
          <w:color w:val="000000" w:themeColor="text1"/>
          <w:sz w:val="20"/>
          <w:szCs w:val="20"/>
        </w:rPr>
        <w:t xml:space="preserve"> y </w:t>
      </w:r>
      <w:proofErr w:type="spellStart"/>
      <w:r w:rsidRPr="003E391B">
        <w:rPr>
          <w:rFonts w:ascii="Times New Roman" w:hAnsi="Times New Roman" w:cs="Times New Roman"/>
          <w:bCs/>
          <w:color w:val="000000" w:themeColor="text1"/>
          <w:sz w:val="20"/>
          <w:szCs w:val="20"/>
        </w:rPr>
        <w:t>Liu</w:t>
      </w:r>
      <w:proofErr w:type="spellEnd"/>
      <w:r w:rsidRPr="003E391B">
        <w:rPr>
          <w:rFonts w:ascii="Times New Roman" w:hAnsi="Times New Roman" w:cs="Times New Roman"/>
          <w:bCs/>
          <w:color w:val="000000" w:themeColor="text1"/>
          <w:sz w:val="20"/>
          <w:szCs w:val="20"/>
        </w:rPr>
        <w:t xml:space="preserve"> (2006) estiman también beneficios de la aplicación de la regulación asimétrica para el mercado de </w:t>
      </w:r>
      <w:proofErr w:type="spellStart"/>
      <w:r w:rsidRPr="003E391B">
        <w:rPr>
          <w:rFonts w:ascii="Times New Roman" w:hAnsi="Times New Roman" w:cs="Times New Roman"/>
          <w:bCs/>
          <w:color w:val="000000" w:themeColor="text1"/>
          <w:sz w:val="20"/>
          <w:szCs w:val="20"/>
        </w:rPr>
        <w:t>Taiwan</w:t>
      </w:r>
      <w:proofErr w:type="spellEnd"/>
      <w:r w:rsidRPr="003E391B">
        <w:rPr>
          <w:rFonts w:ascii="Times New Roman" w:hAnsi="Times New Roman" w:cs="Times New Roman"/>
          <w:bCs/>
          <w:color w:val="000000" w:themeColor="text1"/>
          <w:sz w:val="20"/>
          <w:szCs w:val="20"/>
        </w:rPr>
        <w:t xml:space="preserve">, donde encontraron que esta </w:t>
      </w:r>
      <w:r w:rsidRPr="003E391B">
        <w:rPr>
          <w:rFonts w:ascii="Times New Roman" w:hAnsi="Times New Roman" w:cs="Times New Roman"/>
          <w:color w:val="000000" w:themeColor="text1"/>
          <w:sz w:val="20"/>
          <w:szCs w:val="20"/>
          <w:lang w:val="es-ES"/>
        </w:rPr>
        <w:t>conduce a un mayor crecimiento para los competidores móviles y eleva la penetración del servicio. En ese país un entrante logró incluso desplazar de la posición dominante a la empresa</w:t>
      </w:r>
      <w:r w:rsidR="00576CC5" w:rsidRPr="003E391B">
        <w:rPr>
          <w:rFonts w:ascii="Times New Roman" w:hAnsi="Times New Roman" w:cs="Times New Roman"/>
          <w:color w:val="000000" w:themeColor="text1"/>
          <w:sz w:val="20"/>
          <w:szCs w:val="20"/>
          <w:lang w:val="es-ES"/>
        </w:rPr>
        <w:t xml:space="preserve"> establecida originalmente</w:t>
      </w:r>
      <w:r w:rsidRPr="003E391B">
        <w:rPr>
          <w:rFonts w:ascii="Times New Roman" w:hAnsi="Times New Roman" w:cs="Times New Roman"/>
          <w:color w:val="000000" w:themeColor="text1"/>
          <w:sz w:val="20"/>
          <w:szCs w:val="20"/>
          <w:lang w:val="es-ES"/>
        </w:rPr>
        <w:t xml:space="preserve">. No obstante,  advierten contra las consecuencias </w:t>
      </w:r>
      <w:r w:rsidR="00226883" w:rsidRPr="003E391B">
        <w:rPr>
          <w:rFonts w:ascii="Times New Roman" w:hAnsi="Times New Roman" w:cs="Times New Roman"/>
          <w:color w:val="000000" w:themeColor="text1"/>
          <w:sz w:val="20"/>
          <w:szCs w:val="20"/>
          <w:lang w:val="es-ES"/>
        </w:rPr>
        <w:t>de largo plazo</w:t>
      </w:r>
      <w:r w:rsidRPr="003E391B">
        <w:rPr>
          <w:rFonts w:ascii="Times New Roman" w:hAnsi="Times New Roman" w:cs="Times New Roman"/>
          <w:color w:val="000000" w:themeColor="text1"/>
          <w:sz w:val="20"/>
          <w:szCs w:val="20"/>
          <w:lang w:val="es-ES"/>
        </w:rPr>
        <w:t xml:space="preserve"> de la regulación asimétrica.</w:t>
      </w:r>
      <w:r w:rsidR="00B05D76">
        <w:rPr>
          <w:rFonts w:ascii="Times New Roman" w:hAnsi="Times New Roman" w:cs="Times New Roman"/>
          <w:color w:val="000000" w:themeColor="text1"/>
          <w:sz w:val="20"/>
          <w:szCs w:val="20"/>
          <w:lang w:val="es-ES"/>
        </w:rPr>
        <w:t xml:space="preserve"> En el mismo sentido, </w:t>
      </w:r>
      <w:r w:rsidRPr="003E391B">
        <w:rPr>
          <w:bCs/>
          <w:color w:val="000000" w:themeColor="text1"/>
          <w:sz w:val="20"/>
          <w:szCs w:val="20"/>
        </w:rPr>
        <w:t xml:space="preserve">desde que </w:t>
      </w:r>
      <w:proofErr w:type="spellStart"/>
      <w:r w:rsidRPr="003E391B">
        <w:rPr>
          <w:bCs/>
          <w:color w:val="000000" w:themeColor="text1"/>
          <w:sz w:val="20"/>
          <w:szCs w:val="20"/>
        </w:rPr>
        <w:t>Peitz</w:t>
      </w:r>
      <w:proofErr w:type="spellEnd"/>
      <w:r w:rsidRPr="003E391B">
        <w:rPr>
          <w:bCs/>
          <w:color w:val="000000" w:themeColor="text1"/>
          <w:sz w:val="20"/>
          <w:szCs w:val="20"/>
        </w:rPr>
        <w:t xml:space="preserve"> (2005a) realiza su planteamiento</w:t>
      </w:r>
      <w:r w:rsidR="00EA00DA" w:rsidRPr="003E391B">
        <w:rPr>
          <w:bCs/>
          <w:color w:val="000000" w:themeColor="text1"/>
          <w:sz w:val="20"/>
          <w:szCs w:val="20"/>
        </w:rPr>
        <w:t>,</w:t>
      </w:r>
      <w:r w:rsidR="00D61704">
        <w:rPr>
          <w:bCs/>
          <w:color w:val="000000" w:themeColor="text1"/>
          <w:sz w:val="20"/>
          <w:szCs w:val="20"/>
        </w:rPr>
        <w:t xml:space="preserve"> </w:t>
      </w:r>
      <w:r w:rsidR="00B05D76">
        <w:rPr>
          <w:bCs/>
          <w:color w:val="000000" w:themeColor="text1"/>
          <w:sz w:val="20"/>
          <w:szCs w:val="20"/>
        </w:rPr>
        <w:t>también señala</w:t>
      </w:r>
      <w:r w:rsidRPr="003E391B">
        <w:rPr>
          <w:bCs/>
          <w:color w:val="000000" w:themeColor="text1"/>
          <w:sz w:val="20"/>
          <w:szCs w:val="20"/>
        </w:rPr>
        <w:t xml:space="preserve"> algunos riesgos, mismos que </w:t>
      </w:r>
      <w:proofErr w:type="spellStart"/>
      <w:r w:rsidRPr="003E391B">
        <w:rPr>
          <w:bCs/>
          <w:color w:val="000000" w:themeColor="text1"/>
          <w:sz w:val="20"/>
          <w:szCs w:val="20"/>
        </w:rPr>
        <w:t>Valetti</w:t>
      </w:r>
      <w:proofErr w:type="spellEnd"/>
      <w:r w:rsidRPr="003E391B">
        <w:rPr>
          <w:bCs/>
          <w:color w:val="000000" w:themeColor="text1"/>
          <w:sz w:val="20"/>
          <w:szCs w:val="20"/>
        </w:rPr>
        <w:t xml:space="preserve"> (2006) abrevia: </w:t>
      </w:r>
    </w:p>
    <w:p w:rsidR="006C5565" w:rsidRPr="003E391B" w:rsidRDefault="00316609" w:rsidP="008B591B">
      <w:pPr>
        <w:pStyle w:val="Default"/>
        <w:numPr>
          <w:ilvl w:val="0"/>
          <w:numId w:val="44"/>
        </w:numPr>
        <w:autoSpaceDE/>
        <w:autoSpaceDN/>
        <w:adjustRightInd/>
        <w:spacing w:after="80"/>
        <w:ind w:left="193" w:hanging="193"/>
        <w:jc w:val="both"/>
        <w:rPr>
          <w:rStyle w:val="hps"/>
          <w:color w:val="000000" w:themeColor="text1"/>
          <w:sz w:val="20"/>
          <w:szCs w:val="20"/>
          <w:lang w:val="es-ES"/>
        </w:rPr>
      </w:pPr>
      <w:r>
        <w:rPr>
          <w:rStyle w:val="hps"/>
          <w:color w:val="000000" w:themeColor="text1"/>
          <w:sz w:val="20"/>
          <w:szCs w:val="20"/>
        </w:rPr>
        <w:t>La r</w:t>
      </w:r>
      <w:r w:rsidR="006C5565" w:rsidRPr="003E391B">
        <w:rPr>
          <w:rStyle w:val="hps"/>
          <w:color w:val="000000" w:themeColor="text1"/>
          <w:sz w:val="20"/>
          <w:szCs w:val="20"/>
          <w:lang w:val="es-ES"/>
        </w:rPr>
        <w:t>educción del excedente total (incluyendo el del consumidor y productor), en relación con el nivel que se obtendría si se aplican TTM basadas en costos eficientes.</w:t>
      </w:r>
    </w:p>
    <w:p w:rsidR="00316609" w:rsidRDefault="00316609" w:rsidP="00316609">
      <w:pPr>
        <w:pStyle w:val="Default"/>
        <w:numPr>
          <w:ilvl w:val="0"/>
          <w:numId w:val="44"/>
        </w:numPr>
        <w:autoSpaceDE/>
        <w:autoSpaceDN/>
        <w:adjustRightInd/>
        <w:spacing w:after="80"/>
        <w:ind w:left="193" w:hanging="193"/>
        <w:jc w:val="both"/>
        <w:rPr>
          <w:rStyle w:val="hps"/>
          <w:color w:val="000000" w:themeColor="text1"/>
          <w:sz w:val="20"/>
          <w:szCs w:val="20"/>
          <w:lang w:val="es-ES"/>
        </w:rPr>
      </w:pPr>
      <w:r>
        <w:rPr>
          <w:rStyle w:val="hps"/>
          <w:color w:val="000000" w:themeColor="text1"/>
          <w:sz w:val="20"/>
          <w:szCs w:val="20"/>
          <w:lang w:val="es-ES"/>
        </w:rPr>
        <w:lastRenderedPageBreak/>
        <w:t xml:space="preserve">El desincentivo </w:t>
      </w:r>
      <w:r w:rsidR="00B05D76">
        <w:rPr>
          <w:rStyle w:val="hps"/>
          <w:color w:val="000000" w:themeColor="text1"/>
          <w:sz w:val="20"/>
          <w:szCs w:val="20"/>
          <w:lang w:val="es-ES"/>
        </w:rPr>
        <w:t xml:space="preserve">a </w:t>
      </w:r>
      <w:r w:rsidR="006C5565" w:rsidRPr="003E391B">
        <w:rPr>
          <w:rStyle w:val="hps"/>
          <w:color w:val="000000" w:themeColor="text1"/>
          <w:sz w:val="20"/>
          <w:szCs w:val="20"/>
          <w:lang w:val="es-ES"/>
        </w:rPr>
        <w:t xml:space="preserve">la inversión por parte del </w:t>
      </w:r>
      <w:r w:rsidR="000C0221" w:rsidRPr="003E391B">
        <w:rPr>
          <w:rStyle w:val="hps"/>
          <w:color w:val="000000" w:themeColor="text1"/>
          <w:sz w:val="20"/>
          <w:szCs w:val="20"/>
          <w:lang w:val="es-ES"/>
        </w:rPr>
        <w:t>preponderante</w:t>
      </w:r>
      <w:r w:rsidR="006C5565" w:rsidRPr="003E391B">
        <w:rPr>
          <w:rStyle w:val="hps"/>
          <w:color w:val="000000" w:themeColor="text1"/>
          <w:sz w:val="20"/>
          <w:szCs w:val="20"/>
          <w:lang w:val="es-ES"/>
        </w:rPr>
        <w:t>.</w:t>
      </w:r>
    </w:p>
    <w:p w:rsidR="006C5565" w:rsidRPr="00316609" w:rsidRDefault="00316609" w:rsidP="00B05D76">
      <w:pPr>
        <w:pStyle w:val="Default"/>
        <w:numPr>
          <w:ilvl w:val="0"/>
          <w:numId w:val="44"/>
        </w:numPr>
        <w:autoSpaceDE/>
        <w:autoSpaceDN/>
        <w:adjustRightInd/>
        <w:ind w:left="193" w:hanging="193"/>
        <w:jc w:val="both"/>
        <w:rPr>
          <w:rStyle w:val="hps"/>
          <w:color w:val="000000" w:themeColor="text1"/>
          <w:sz w:val="20"/>
          <w:szCs w:val="20"/>
          <w:lang w:val="es-ES"/>
        </w:rPr>
      </w:pPr>
      <w:r>
        <w:rPr>
          <w:rStyle w:val="hps"/>
          <w:color w:val="000000" w:themeColor="text1"/>
          <w:sz w:val="20"/>
          <w:szCs w:val="20"/>
          <w:lang w:val="es-ES"/>
        </w:rPr>
        <w:t>La posibilidad de</w:t>
      </w:r>
      <w:r w:rsidR="006C5565" w:rsidRPr="00316609">
        <w:rPr>
          <w:rStyle w:val="hps"/>
          <w:color w:val="000000" w:themeColor="text1"/>
          <w:sz w:val="20"/>
          <w:szCs w:val="20"/>
          <w:lang w:val="es-ES"/>
        </w:rPr>
        <w:t xml:space="preserve"> entrada de operadores ineficientes que busquen e</w:t>
      </w:r>
      <w:r w:rsidR="00C94393" w:rsidRPr="00316609">
        <w:rPr>
          <w:rStyle w:val="hps"/>
          <w:color w:val="000000" w:themeColor="text1"/>
          <w:sz w:val="20"/>
          <w:szCs w:val="20"/>
          <w:lang w:val="es-ES"/>
        </w:rPr>
        <w:t xml:space="preserve">l </w:t>
      </w:r>
      <w:r w:rsidR="00571490" w:rsidRPr="00316609">
        <w:rPr>
          <w:rStyle w:val="hps"/>
          <w:i/>
          <w:color w:val="000000" w:themeColor="text1"/>
          <w:sz w:val="20"/>
          <w:szCs w:val="20"/>
          <w:lang w:val="es-ES"/>
        </w:rPr>
        <w:t>descreme del mercado</w:t>
      </w:r>
      <w:r w:rsidR="006C5565" w:rsidRPr="00316609">
        <w:rPr>
          <w:rStyle w:val="hps"/>
          <w:color w:val="000000" w:themeColor="text1"/>
          <w:sz w:val="20"/>
          <w:szCs w:val="20"/>
          <w:lang w:val="es-ES"/>
        </w:rPr>
        <w:t>.</w:t>
      </w:r>
    </w:p>
    <w:p w:rsidR="00B05D76" w:rsidRDefault="00B05D76" w:rsidP="00B05D76">
      <w:pPr>
        <w:spacing w:after="0" w:line="240" w:lineRule="auto"/>
        <w:jc w:val="both"/>
        <w:rPr>
          <w:rFonts w:ascii="Times New Roman" w:hAnsi="Times New Roman" w:cs="Times New Roman"/>
          <w:color w:val="000000" w:themeColor="text1"/>
          <w:sz w:val="20"/>
          <w:szCs w:val="20"/>
        </w:rPr>
      </w:pPr>
    </w:p>
    <w:p w:rsidR="006C5565" w:rsidRPr="003E391B" w:rsidRDefault="00EA00DA" w:rsidP="00B05D76">
      <w:pPr>
        <w:spacing w:after="0" w:line="240" w:lineRule="auto"/>
        <w:jc w:val="both"/>
        <w:rPr>
          <w:rFonts w:ascii="Times New Roman" w:hAnsi="Times New Roman" w:cs="Times New Roman"/>
          <w:color w:val="000000" w:themeColor="text1"/>
          <w:sz w:val="20"/>
          <w:szCs w:val="20"/>
          <w:lang w:val="es-ES"/>
        </w:rPr>
      </w:pPr>
      <w:r w:rsidRPr="003E391B">
        <w:rPr>
          <w:rFonts w:ascii="Times New Roman" w:hAnsi="Times New Roman" w:cs="Times New Roman"/>
          <w:color w:val="000000" w:themeColor="text1"/>
          <w:sz w:val="20"/>
          <w:szCs w:val="20"/>
        </w:rPr>
        <w:t>Otros autores (</w:t>
      </w:r>
      <w:proofErr w:type="spellStart"/>
      <w:r w:rsidR="006C5565" w:rsidRPr="003E391B">
        <w:rPr>
          <w:rFonts w:ascii="Times New Roman" w:hAnsi="Times New Roman" w:cs="Times New Roman"/>
          <w:color w:val="000000" w:themeColor="text1"/>
          <w:sz w:val="20"/>
          <w:szCs w:val="20"/>
        </w:rPr>
        <w:t>Cranda</w:t>
      </w:r>
      <w:r w:rsidRPr="003E391B">
        <w:rPr>
          <w:rFonts w:ascii="Times New Roman" w:hAnsi="Times New Roman" w:cs="Times New Roman"/>
          <w:color w:val="000000" w:themeColor="text1"/>
          <w:sz w:val="20"/>
          <w:szCs w:val="20"/>
        </w:rPr>
        <w:t>ll</w:t>
      </w:r>
      <w:proofErr w:type="spellEnd"/>
      <w:r w:rsidRPr="003E391B">
        <w:rPr>
          <w:rFonts w:ascii="Times New Roman" w:hAnsi="Times New Roman" w:cs="Times New Roman"/>
          <w:color w:val="000000" w:themeColor="text1"/>
          <w:sz w:val="20"/>
          <w:szCs w:val="20"/>
        </w:rPr>
        <w:t xml:space="preserve">, </w:t>
      </w:r>
      <w:proofErr w:type="spellStart"/>
      <w:r w:rsidRPr="003E391B">
        <w:rPr>
          <w:rFonts w:ascii="Times New Roman" w:hAnsi="Times New Roman" w:cs="Times New Roman"/>
          <w:color w:val="000000" w:themeColor="text1"/>
          <w:sz w:val="20"/>
          <w:szCs w:val="20"/>
        </w:rPr>
        <w:t>Sidak</w:t>
      </w:r>
      <w:proofErr w:type="spellEnd"/>
      <w:r w:rsidRPr="003E391B">
        <w:rPr>
          <w:rFonts w:ascii="Times New Roman" w:hAnsi="Times New Roman" w:cs="Times New Roman"/>
          <w:color w:val="000000" w:themeColor="text1"/>
          <w:sz w:val="20"/>
          <w:szCs w:val="20"/>
        </w:rPr>
        <w:t xml:space="preserve"> y Singer, </w:t>
      </w:r>
      <w:r w:rsidR="006C5565" w:rsidRPr="003E391B">
        <w:rPr>
          <w:rFonts w:ascii="Times New Roman" w:hAnsi="Times New Roman" w:cs="Times New Roman"/>
          <w:color w:val="000000" w:themeColor="text1"/>
          <w:sz w:val="20"/>
          <w:szCs w:val="20"/>
        </w:rPr>
        <w:t xml:space="preserve">2001) </w:t>
      </w:r>
      <w:r w:rsidRPr="003E391B">
        <w:rPr>
          <w:rFonts w:ascii="Times New Roman" w:hAnsi="Times New Roman" w:cs="Times New Roman"/>
          <w:color w:val="000000" w:themeColor="text1"/>
          <w:sz w:val="20"/>
          <w:szCs w:val="20"/>
        </w:rPr>
        <w:t xml:space="preserve">también </w:t>
      </w:r>
      <w:r w:rsidR="006C5565" w:rsidRPr="003E391B">
        <w:rPr>
          <w:rFonts w:ascii="Times New Roman" w:hAnsi="Times New Roman" w:cs="Times New Roman"/>
          <w:color w:val="000000" w:themeColor="text1"/>
          <w:sz w:val="20"/>
          <w:szCs w:val="20"/>
        </w:rPr>
        <w:t xml:space="preserve">han advertido de los límites y riesgos de los esquemas regulatorios duales. </w:t>
      </w:r>
      <w:proofErr w:type="spellStart"/>
      <w:r w:rsidR="006C5565" w:rsidRPr="003E391B">
        <w:rPr>
          <w:rFonts w:ascii="Times New Roman" w:hAnsi="Times New Roman" w:cs="Times New Roman"/>
          <w:color w:val="000000" w:themeColor="text1"/>
          <w:sz w:val="20"/>
          <w:szCs w:val="20"/>
        </w:rPr>
        <w:t>Dewenter</w:t>
      </w:r>
      <w:proofErr w:type="spellEnd"/>
      <w:r w:rsidR="006C5565" w:rsidRPr="003E391B">
        <w:rPr>
          <w:rFonts w:ascii="Times New Roman" w:hAnsi="Times New Roman" w:cs="Times New Roman"/>
          <w:color w:val="000000" w:themeColor="text1"/>
          <w:sz w:val="20"/>
          <w:szCs w:val="20"/>
        </w:rPr>
        <w:t xml:space="preserve"> y </w:t>
      </w:r>
      <w:proofErr w:type="spellStart"/>
      <w:r w:rsidR="006C5565" w:rsidRPr="003E391B">
        <w:rPr>
          <w:rFonts w:ascii="Times New Roman" w:hAnsi="Times New Roman" w:cs="Times New Roman"/>
          <w:color w:val="000000" w:themeColor="text1"/>
          <w:sz w:val="20"/>
          <w:szCs w:val="20"/>
        </w:rPr>
        <w:t>Haucap</w:t>
      </w:r>
      <w:proofErr w:type="spellEnd"/>
      <w:r w:rsidR="006C5565" w:rsidRPr="003E391B">
        <w:rPr>
          <w:rFonts w:ascii="Times New Roman" w:hAnsi="Times New Roman" w:cs="Times New Roman"/>
          <w:color w:val="000000" w:themeColor="text1"/>
          <w:sz w:val="20"/>
          <w:szCs w:val="20"/>
        </w:rPr>
        <w:t xml:space="preserve"> (2005) agregan que los nuevos operadores </w:t>
      </w:r>
      <w:r w:rsidR="006C5565" w:rsidRPr="003E391B">
        <w:rPr>
          <w:rStyle w:val="hps"/>
          <w:rFonts w:ascii="Times New Roman" w:hAnsi="Times New Roman" w:cs="Times New Roman"/>
          <w:color w:val="000000" w:themeColor="text1"/>
          <w:sz w:val="20"/>
          <w:szCs w:val="20"/>
          <w:lang w:val="es-ES"/>
        </w:rPr>
        <w:t xml:space="preserve">tienen incentivo a elevar sus TTM, por encima de  la que aplica el </w:t>
      </w:r>
      <w:r w:rsidRPr="003E391B">
        <w:rPr>
          <w:rStyle w:val="hps"/>
          <w:rFonts w:ascii="Times New Roman" w:hAnsi="Times New Roman" w:cs="Times New Roman"/>
          <w:color w:val="000000" w:themeColor="text1"/>
          <w:sz w:val="20"/>
          <w:szCs w:val="20"/>
          <w:lang w:val="es-ES"/>
        </w:rPr>
        <w:t>operador dominante</w:t>
      </w:r>
      <w:r w:rsidR="006C5565" w:rsidRPr="003E391B">
        <w:rPr>
          <w:rStyle w:val="hps"/>
          <w:rFonts w:ascii="Times New Roman" w:hAnsi="Times New Roman" w:cs="Times New Roman"/>
          <w:color w:val="000000" w:themeColor="text1"/>
          <w:sz w:val="20"/>
          <w:szCs w:val="20"/>
          <w:lang w:val="es-ES"/>
        </w:rPr>
        <w:t xml:space="preserve">. </w:t>
      </w:r>
      <w:r w:rsidRPr="003E391B">
        <w:rPr>
          <w:rStyle w:val="hps"/>
          <w:rFonts w:ascii="Times New Roman" w:hAnsi="Times New Roman" w:cs="Times New Roman"/>
          <w:color w:val="000000" w:themeColor="text1"/>
          <w:sz w:val="20"/>
          <w:szCs w:val="20"/>
          <w:lang w:val="es-ES"/>
        </w:rPr>
        <w:t>Otros estudios (</w:t>
      </w:r>
      <w:r w:rsidR="006C5565" w:rsidRPr="003E391B">
        <w:rPr>
          <w:rFonts w:ascii="Times New Roman" w:hAnsi="Times New Roman" w:cs="Times New Roman"/>
          <w:color w:val="000000" w:themeColor="text1"/>
          <w:sz w:val="20"/>
          <w:szCs w:val="20"/>
        </w:rPr>
        <w:t xml:space="preserve">K. Anderson, B. </w:t>
      </w:r>
      <w:r w:rsidRPr="003E391B">
        <w:rPr>
          <w:rFonts w:ascii="Times New Roman" w:hAnsi="Times New Roman" w:cs="Times New Roman"/>
          <w:color w:val="000000" w:themeColor="text1"/>
          <w:sz w:val="20"/>
          <w:szCs w:val="20"/>
        </w:rPr>
        <w:t xml:space="preserve">Hansen, </w:t>
      </w:r>
      <w:r w:rsidR="006C5565" w:rsidRPr="003E391B">
        <w:rPr>
          <w:rFonts w:ascii="Times New Roman" w:hAnsi="Times New Roman" w:cs="Times New Roman"/>
          <w:color w:val="000000" w:themeColor="text1"/>
          <w:sz w:val="20"/>
          <w:szCs w:val="20"/>
        </w:rPr>
        <w:t>2007), a</w:t>
      </w:r>
      <w:proofErr w:type="spellStart"/>
      <w:r w:rsidR="00571490">
        <w:rPr>
          <w:rStyle w:val="hps"/>
          <w:rFonts w:ascii="Times New Roman" w:hAnsi="Times New Roman" w:cs="Times New Roman"/>
          <w:color w:val="000000" w:themeColor="text1"/>
          <w:sz w:val="20"/>
          <w:szCs w:val="20"/>
          <w:lang w:val="es-ES"/>
        </w:rPr>
        <w:t>naliz</w:t>
      </w:r>
      <w:r w:rsidR="006C5565" w:rsidRPr="003E391B">
        <w:rPr>
          <w:rStyle w:val="hps"/>
          <w:rFonts w:ascii="Times New Roman" w:hAnsi="Times New Roman" w:cs="Times New Roman"/>
          <w:color w:val="000000" w:themeColor="text1"/>
          <w:sz w:val="20"/>
          <w:szCs w:val="20"/>
          <w:lang w:val="es-ES"/>
        </w:rPr>
        <w:t>an</w:t>
      </w:r>
      <w:proofErr w:type="spellEnd"/>
      <w:r w:rsidR="006C5565" w:rsidRPr="003E391B">
        <w:rPr>
          <w:rFonts w:ascii="Times New Roman" w:hAnsi="Times New Roman" w:cs="Times New Roman"/>
          <w:color w:val="000000" w:themeColor="text1"/>
          <w:sz w:val="20"/>
          <w:szCs w:val="20"/>
          <w:lang w:val="es-ES"/>
        </w:rPr>
        <w:t xml:space="preserve"> </w:t>
      </w:r>
      <w:r w:rsidR="006C5565" w:rsidRPr="003E391B">
        <w:rPr>
          <w:rStyle w:val="hps"/>
          <w:rFonts w:ascii="Times New Roman" w:hAnsi="Times New Roman" w:cs="Times New Roman"/>
          <w:color w:val="000000" w:themeColor="text1"/>
          <w:sz w:val="20"/>
          <w:szCs w:val="20"/>
          <w:lang w:val="es-ES"/>
        </w:rPr>
        <w:t>un modelo de competencia</w:t>
      </w:r>
      <w:r w:rsidR="006C5565" w:rsidRPr="003E391B">
        <w:rPr>
          <w:rFonts w:ascii="Times New Roman" w:hAnsi="Times New Roman" w:cs="Times New Roman"/>
          <w:color w:val="000000" w:themeColor="text1"/>
          <w:sz w:val="20"/>
          <w:szCs w:val="20"/>
          <w:lang w:val="es-ES"/>
        </w:rPr>
        <w:t xml:space="preserve"> </w:t>
      </w:r>
      <w:r w:rsidR="00571490">
        <w:rPr>
          <w:rStyle w:val="hps"/>
          <w:rFonts w:ascii="Times New Roman" w:hAnsi="Times New Roman" w:cs="Times New Roman"/>
          <w:color w:val="000000" w:themeColor="text1"/>
          <w:sz w:val="20"/>
          <w:szCs w:val="20"/>
          <w:lang w:val="es-ES"/>
        </w:rPr>
        <w:t>entre</w:t>
      </w:r>
      <w:r w:rsidR="006C5565" w:rsidRPr="003E391B">
        <w:rPr>
          <w:rStyle w:val="hps"/>
          <w:rFonts w:ascii="Times New Roman" w:hAnsi="Times New Roman" w:cs="Times New Roman"/>
          <w:color w:val="000000" w:themeColor="text1"/>
          <w:sz w:val="20"/>
          <w:szCs w:val="20"/>
          <w:lang w:val="es-ES"/>
        </w:rPr>
        <w:t xml:space="preserve"> varios</w:t>
      </w:r>
      <w:r w:rsidR="006C5565" w:rsidRPr="003E391B">
        <w:rPr>
          <w:rFonts w:ascii="Times New Roman" w:hAnsi="Times New Roman" w:cs="Times New Roman"/>
          <w:color w:val="000000" w:themeColor="text1"/>
          <w:sz w:val="20"/>
          <w:szCs w:val="20"/>
          <w:lang w:val="es-ES"/>
        </w:rPr>
        <w:t xml:space="preserve"> </w:t>
      </w:r>
      <w:r w:rsidR="00A56608" w:rsidRPr="003E391B">
        <w:rPr>
          <w:rStyle w:val="hps"/>
          <w:rFonts w:ascii="Times New Roman" w:hAnsi="Times New Roman" w:cs="Times New Roman"/>
          <w:color w:val="000000" w:themeColor="text1"/>
          <w:sz w:val="20"/>
          <w:szCs w:val="20"/>
          <w:lang w:val="es-ES"/>
        </w:rPr>
        <w:t xml:space="preserve">operadores </w:t>
      </w:r>
      <w:r w:rsidR="006C5565" w:rsidRPr="003E391B">
        <w:rPr>
          <w:rStyle w:val="hps"/>
          <w:rFonts w:ascii="Times New Roman" w:hAnsi="Times New Roman" w:cs="Times New Roman"/>
          <w:color w:val="000000" w:themeColor="text1"/>
          <w:sz w:val="20"/>
          <w:szCs w:val="20"/>
          <w:lang w:val="es-ES"/>
        </w:rPr>
        <w:t xml:space="preserve">y </w:t>
      </w:r>
      <w:r w:rsidR="006C5565" w:rsidRPr="003E391B">
        <w:rPr>
          <w:rFonts w:ascii="Times New Roman" w:hAnsi="Times New Roman" w:cs="Times New Roman"/>
          <w:color w:val="000000" w:themeColor="text1"/>
          <w:sz w:val="20"/>
          <w:szCs w:val="20"/>
          <w:lang w:val="es-ES"/>
        </w:rPr>
        <w:t>sus</w:t>
      </w:r>
      <w:r w:rsidR="006C5565" w:rsidRPr="003E391B">
        <w:rPr>
          <w:rStyle w:val="hps"/>
          <w:rFonts w:ascii="Times New Roman" w:hAnsi="Times New Roman" w:cs="Times New Roman"/>
          <w:color w:val="000000" w:themeColor="text1"/>
          <w:sz w:val="20"/>
          <w:szCs w:val="20"/>
          <w:lang w:val="es-ES"/>
        </w:rPr>
        <w:t xml:space="preserve"> resultados sugieren que</w:t>
      </w:r>
      <w:r w:rsidR="006C5565" w:rsidRPr="003E391B">
        <w:rPr>
          <w:rFonts w:ascii="Times New Roman" w:hAnsi="Times New Roman" w:cs="Times New Roman"/>
          <w:color w:val="000000" w:themeColor="text1"/>
          <w:sz w:val="20"/>
          <w:szCs w:val="20"/>
          <w:lang w:val="es-ES"/>
        </w:rPr>
        <w:t xml:space="preserve"> </w:t>
      </w:r>
      <w:r w:rsidR="006C5565" w:rsidRPr="003E391B">
        <w:rPr>
          <w:rStyle w:val="hps"/>
          <w:rFonts w:ascii="Times New Roman" w:hAnsi="Times New Roman" w:cs="Times New Roman"/>
          <w:color w:val="000000" w:themeColor="text1"/>
          <w:sz w:val="20"/>
          <w:szCs w:val="20"/>
          <w:lang w:val="es-ES"/>
        </w:rPr>
        <w:t>una reducción</w:t>
      </w:r>
      <w:r w:rsidR="006C5565" w:rsidRPr="003E391B">
        <w:rPr>
          <w:rFonts w:ascii="Times New Roman" w:hAnsi="Times New Roman" w:cs="Times New Roman"/>
          <w:color w:val="000000" w:themeColor="text1"/>
          <w:sz w:val="20"/>
          <w:szCs w:val="20"/>
          <w:lang w:val="es-ES"/>
        </w:rPr>
        <w:t xml:space="preserve"> </w:t>
      </w:r>
      <w:r w:rsidR="006C5565" w:rsidRPr="003E391B">
        <w:rPr>
          <w:rStyle w:val="hps"/>
          <w:rFonts w:ascii="Times New Roman" w:hAnsi="Times New Roman" w:cs="Times New Roman"/>
          <w:color w:val="000000" w:themeColor="text1"/>
          <w:sz w:val="20"/>
          <w:szCs w:val="20"/>
          <w:lang w:val="es-ES"/>
        </w:rPr>
        <w:t>en la TTM</w:t>
      </w:r>
      <w:r w:rsidR="006C5565" w:rsidRPr="003E391B">
        <w:rPr>
          <w:rFonts w:ascii="Times New Roman" w:hAnsi="Times New Roman" w:cs="Times New Roman"/>
          <w:color w:val="000000" w:themeColor="text1"/>
          <w:sz w:val="20"/>
          <w:szCs w:val="20"/>
          <w:lang w:val="es-ES"/>
        </w:rPr>
        <w:t xml:space="preserve"> </w:t>
      </w:r>
      <w:r w:rsidR="006C5565" w:rsidRPr="003E391B">
        <w:rPr>
          <w:rStyle w:val="hps"/>
          <w:rFonts w:ascii="Times New Roman" w:hAnsi="Times New Roman" w:cs="Times New Roman"/>
          <w:color w:val="000000" w:themeColor="text1"/>
          <w:sz w:val="20"/>
          <w:szCs w:val="20"/>
          <w:lang w:val="es-ES"/>
        </w:rPr>
        <w:t>en los mercados maduros</w:t>
      </w:r>
      <w:r w:rsidR="006C5565" w:rsidRPr="003E391B">
        <w:rPr>
          <w:rFonts w:ascii="Times New Roman" w:hAnsi="Times New Roman" w:cs="Times New Roman"/>
          <w:color w:val="000000" w:themeColor="text1"/>
          <w:sz w:val="20"/>
          <w:szCs w:val="20"/>
          <w:lang w:val="es-ES"/>
        </w:rPr>
        <w:t xml:space="preserve"> </w:t>
      </w:r>
      <w:r w:rsidR="006C5565" w:rsidRPr="003E391B">
        <w:rPr>
          <w:rStyle w:val="hps"/>
          <w:rFonts w:ascii="Times New Roman" w:hAnsi="Times New Roman" w:cs="Times New Roman"/>
          <w:color w:val="000000" w:themeColor="text1"/>
          <w:sz w:val="20"/>
          <w:szCs w:val="20"/>
          <w:lang w:val="es-ES"/>
        </w:rPr>
        <w:t>no necesariamente va a</w:t>
      </w:r>
      <w:r w:rsidR="006C5565" w:rsidRPr="003E391B">
        <w:rPr>
          <w:rFonts w:ascii="Times New Roman" w:hAnsi="Times New Roman" w:cs="Times New Roman"/>
          <w:color w:val="000000" w:themeColor="text1"/>
          <w:sz w:val="20"/>
          <w:szCs w:val="20"/>
          <w:lang w:val="es-ES"/>
        </w:rPr>
        <w:t xml:space="preserve"> </w:t>
      </w:r>
      <w:r w:rsidR="006C5565" w:rsidRPr="003E391B">
        <w:rPr>
          <w:rStyle w:val="hps"/>
          <w:rFonts w:ascii="Times New Roman" w:hAnsi="Times New Roman" w:cs="Times New Roman"/>
          <w:color w:val="000000" w:themeColor="text1"/>
          <w:sz w:val="20"/>
          <w:szCs w:val="20"/>
          <w:lang w:val="es-ES"/>
        </w:rPr>
        <w:t>beneficiar a los consumidores.</w:t>
      </w:r>
    </w:p>
    <w:p w:rsidR="006C5565" w:rsidRPr="003E391B" w:rsidRDefault="006C5565" w:rsidP="000C0221">
      <w:pPr>
        <w:pStyle w:val="Default"/>
        <w:autoSpaceDE/>
        <w:autoSpaceDN/>
        <w:adjustRightInd/>
        <w:spacing w:after="120"/>
        <w:jc w:val="both"/>
        <w:rPr>
          <w:rStyle w:val="hps"/>
          <w:color w:val="000000" w:themeColor="text1"/>
          <w:sz w:val="20"/>
          <w:szCs w:val="20"/>
          <w:lang w:val="es-ES"/>
        </w:rPr>
      </w:pPr>
      <w:proofErr w:type="spellStart"/>
      <w:r w:rsidRPr="003E391B">
        <w:rPr>
          <w:color w:val="000000" w:themeColor="text1"/>
          <w:sz w:val="20"/>
          <w:szCs w:val="20"/>
        </w:rPr>
        <w:t>Valletti</w:t>
      </w:r>
      <w:proofErr w:type="spellEnd"/>
      <w:r w:rsidRPr="003E391B">
        <w:rPr>
          <w:color w:val="000000" w:themeColor="text1"/>
          <w:sz w:val="20"/>
          <w:szCs w:val="20"/>
        </w:rPr>
        <w:t xml:space="preserve"> (2006) desarrolla ampliamente las razones por las que </w:t>
      </w:r>
      <w:r w:rsidRPr="003E391B">
        <w:rPr>
          <w:color w:val="000000" w:themeColor="text1"/>
          <w:sz w:val="20"/>
          <w:szCs w:val="20"/>
          <w:lang w:val="es-ES"/>
        </w:rPr>
        <w:t xml:space="preserve">la regulación asimétrica de las TTM es una manera inadecuada e ineficiente de promover la entrada al mercado. Argumenta que las preocupaciones sobre el poder de mercado en la terminación de llamadas aplican a todos los operadores, por lo que es necesaria la igualdad de trato de todas las empresas. </w:t>
      </w:r>
      <w:r w:rsidRPr="003E391B">
        <w:rPr>
          <w:rStyle w:val="hps"/>
          <w:color w:val="000000" w:themeColor="text1"/>
          <w:sz w:val="20"/>
          <w:szCs w:val="20"/>
          <w:lang w:val="es-ES"/>
        </w:rPr>
        <w:t>Un precio</w:t>
      </w:r>
      <w:r w:rsidRPr="003E391B">
        <w:rPr>
          <w:color w:val="000000" w:themeColor="text1"/>
          <w:sz w:val="20"/>
          <w:szCs w:val="20"/>
          <w:lang w:val="es-ES"/>
        </w:rPr>
        <w:t xml:space="preserve"> </w:t>
      </w:r>
      <w:r w:rsidRPr="003E391B">
        <w:rPr>
          <w:rStyle w:val="hps"/>
          <w:color w:val="000000" w:themeColor="text1"/>
          <w:sz w:val="20"/>
          <w:szCs w:val="20"/>
          <w:lang w:val="es-ES"/>
        </w:rPr>
        <w:t>simétrico</w:t>
      </w:r>
      <w:r w:rsidRPr="003E391B">
        <w:rPr>
          <w:color w:val="000000" w:themeColor="text1"/>
          <w:sz w:val="20"/>
          <w:szCs w:val="20"/>
          <w:lang w:val="es-ES"/>
        </w:rPr>
        <w:t xml:space="preserve"> </w:t>
      </w:r>
      <w:r w:rsidRPr="003E391B">
        <w:rPr>
          <w:rStyle w:val="hps"/>
          <w:color w:val="000000" w:themeColor="text1"/>
          <w:sz w:val="20"/>
          <w:szCs w:val="20"/>
          <w:lang w:val="es-ES"/>
        </w:rPr>
        <w:t>da</w:t>
      </w:r>
      <w:r w:rsidRPr="003E391B">
        <w:rPr>
          <w:color w:val="000000" w:themeColor="text1"/>
          <w:sz w:val="20"/>
          <w:szCs w:val="20"/>
          <w:lang w:val="es-ES"/>
        </w:rPr>
        <w:t xml:space="preserve"> </w:t>
      </w:r>
      <w:r w:rsidRPr="003E391B">
        <w:rPr>
          <w:rStyle w:val="hps"/>
          <w:color w:val="000000" w:themeColor="text1"/>
          <w:sz w:val="20"/>
          <w:szCs w:val="20"/>
          <w:lang w:val="es-ES"/>
        </w:rPr>
        <w:t>los incentivos adecuados para mejorar la eficiencia</w:t>
      </w:r>
      <w:r w:rsidRPr="003E391B">
        <w:rPr>
          <w:color w:val="000000" w:themeColor="text1"/>
          <w:sz w:val="20"/>
          <w:szCs w:val="20"/>
          <w:lang w:val="es-ES"/>
        </w:rPr>
        <w:t xml:space="preserve"> </w:t>
      </w:r>
      <w:r w:rsidRPr="003E391B">
        <w:rPr>
          <w:rStyle w:val="hps"/>
          <w:color w:val="000000" w:themeColor="text1"/>
          <w:sz w:val="20"/>
          <w:szCs w:val="20"/>
          <w:lang w:val="es-ES"/>
        </w:rPr>
        <w:t>productiva</w:t>
      </w:r>
      <w:r w:rsidRPr="003E391B">
        <w:rPr>
          <w:color w:val="000000" w:themeColor="text1"/>
          <w:sz w:val="20"/>
          <w:szCs w:val="20"/>
          <w:lang w:val="es-ES"/>
        </w:rPr>
        <w:t>. R</w:t>
      </w:r>
      <w:r w:rsidRPr="003E391B">
        <w:rPr>
          <w:rStyle w:val="hps"/>
          <w:color w:val="000000" w:themeColor="text1"/>
          <w:sz w:val="20"/>
          <w:szCs w:val="20"/>
          <w:lang w:val="es-ES"/>
        </w:rPr>
        <w:t>econoce que</w:t>
      </w:r>
      <w:r w:rsidRPr="003E391B">
        <w:rPr>
          <w:color w:val="000000" w:themeColor="text1"/>
          <w:sz w:val="20"/>
          <w:szCs w:val="20"/>
          <w:lang w:val="es-ES"/>
        </w:rPr>
        <w:t xml:space="preserve"> </w:t>
      </w:r>
      <w:r w:rsidRPr="003E391B">
        <w:rPr>
          <w:rStyle w:val="hps"/>
          <w:color w:val="000000" w:themeColor="text1"/>
          <w:sz w:val="20"/>
          <w:szCs w:val="20"/>
          <w:lang w:val="es-ES"/>
        </w:rPr>
        <w:t>el control de precios</w:t>
      </w:r>
      <w:r w:rsidRPr="003E391B">
        <w:rPr>
          <w:color w:val="000000" w:themeColor="text1"/>
          <w:sz w:val="20"/>
          <w:szCs w:val="20"/>
          <w:lang w:val="es-ES"/>
        </w:rPr>
        <w:t xml:space="preserve"> </w:t>
      </w:r>
      <w:r w:rsidRPr="003E391B">
        <w:rPr>
          <w:rStyle w:val="hps"/>
          <w:color w:val="000000" w:themeColor="text1"/>
          <w:sz w:val="20"/>
          <w:szCs w:val="20"/>
          <w:lang w:val="es-ES"/>
        </w:rPr>
        <w:t>necesita</w:t>
      </w:r>
      <w:r w:rsidRPr="003E391B">
        <w:rPr>
          <w:color w:val="000000" w:themeColor="text1"/>
          <w:sz w:val="20"/>
          <w:szCs w:val="20"/>
          <w:lang w:val="es-ES"/>
        </w:rPr>
        <w:t xml:space="preserve"> </w:t>
      </w:r>
      <w:r w:rsidRPr="003E391B">
        <w:rPr>
          <w:rStyle w:val="hps"/>
          <w:color w:val="000000" w:themeColor="text1"/>
          <w:sz w:val="20"/>
          <w:szCs w:val="20"/>
          <w:lang w:val="es-ES"/>
        </w:rPr>
        <w:t>estar relacionado con</w:t>
      </w:r>
      <w:r w:rsidRPr="003E391B">
        <w:rPr>
          <w:color w:val="000000" w:themeColor="text1"/>
          <w:sz w:val="20"/>
          <w:szCs w:val="20"/>
          <w:lang w:val="es-ES"/>
        </w:rPr>
        <w:t xml:space="preserve"> </w:t>
      </w:r>
      <w:r w:rsidRPr="003E391B">
        <w:rPr>
          <w:rStyle w:val="hps"/>
          <w:color w:val="000000" w:themeColor="text1"/>
          <w:sz w:val="20"/>
          <w:szCs w:val="20"/>
          <w:lang w:val="es-ES"/>
        </w:rPr>
        <w:t>los costos</w:t>
      </w:r>
      <w:r w:rsidRPr="003E391B">
        <w:rPr>
          <w:color w:val="000000" w:themeColor="text1"/>
          <w:sz w:val="20"/>
          <w:szCs w:val="20"/>
          <w:lang w:val="es-ES"/>
        </w:rPr>
        <w:t xml:space="preserve"> de l</w:t>
      </w:r>
      <w:r w:rsidRPr="003E391B">
        <w:rPr>
          <w:rStyle w:val="hps"/>
          <w:color w:val="000000" w:themeColor="text1"/>
          <w:sz w:val="20"/>
          <w:szCs w:val="20"/>
          <w:lang w:val="es-ES"/>
        </w:rPr>
        <w:t>as empresas</w:t>
      </w:r>
      <w:r w:rsidRPr="003E391B">
        <w:rPr>
          <w:color w:val="000000" w:themeColor="text1"/>
          <w:sz w:val="20"/>
          <w:szCs w:val="20"/>
          <w:lang w:val="es-ES"/>
        </w:rPr>
        <w:t xml:space="preserve"> </w:t>
      </w:r>
      <w:r w:rsidRPr="003E391B">
        <w:rPr>
          <w:rStyle w:val="hps"/>
          <w:color w:val="000000" w:themeColor="text1"/>
          <w:sz w:val="20"/>
          <w:szCs w:val="20"/>
          <w:lang w:val="es-ES"/>
        </w:rPr>
        <w:t>eficientes</w:t>
      </w:r>
      <w:r w:rsidRPr="003E391B">
        <w:rPr>
          <w:color w:val="000000" w:themeColor="text1"/>
          <w:sz w:val="20"/>
          <w:szCs w:val="20"/>
          <w:lang w:val="es-ES"/>
        </w:rPr>
        <w:t xml:space="preserve">, </w:t>
      </w:r>
      <w:r w:rsidRPr="003E391B">
        <w:rPr>
          <w:rStyle w:val="hps"/>
          <w:color w:val="000000" w:themeColor="text1"/>
          <w:sz w:val="20"/>
          <w:szCs w:val="20"/>
          <w:lang w:val="es-ES"/>
        </w:rPr>
        <w:t>no con los</w:t>
      </w:r>
      <w:r w:rsidRPr="003E391B">
        <w:rPr>
          <w:color w:val="000000" w:themeColor="text1"/>
          <w:sz w:val="20"/>
          <w:szCs w:val="20"/>
          <w:lang w:val="es-ES"/>
        </w:rPr>
        <w:t xml:space="preserve"> </w:t>
      </w:r>
      <w:r w:rsidRPr="003E391B">
        <w:rPr>
          <w:rStyle w:val="hps"/>
          <w:color w:val="000000" w:themeColor="text1"/>
          <w:sz w:val="20"/>
          <w:szCs w:val="20"/>
          <w:lang w:val="es-ES"/>
        </w:rPr>
        <w:t>gastos efectivamente realizados por</w:t>
      </w:r>
      <w:r w:rsidRPr="003E391B">
        <w:rPr>
          <w:color w:val="000000" w:themeColor="text1"/>
          <w:sz w:val="20"/>
          <w:szCs w:val="20"/>
          <w:lang w:val="es-ES"/>
        </w:rPr>
        <w:t xml:space="preserve"> </w:t>
      </w:r>
      <w:r w:rsidRPr="003E391B">
        <w:rPr>
          <w:rStyle w:val="hps"/>
          <w:color w:val="000000" w:themeColor="text1"/>
          <w:sz w:val="20"/>
          <w:szCs w:val="20"/>
          <w:lang w:val="es-ES"/>
        </w:rPr>
        <w:t>una empresa</w:t>
      </w:r>
      <w:r w:rsidRPr="003E391B">
        <w:rPr>
          <w:color w:val="000000" w:themeColor="text1"/>
          <w:sz w:val="20"/>
          <w:szCs w:val="20"/>
          <w:lang w:val="es-ES"/>
        </w:rPr>
        <w:t xml:space="preserve">, </w:t>
      </w:r>
      <w:r w:rsidRPr="003E391B">
        <w:rPr>
          <w:rStyle w:val="hps"/>
          <w:color w:val="000000" w:themeColor="text1"/>
          <w:sz w:val="20"/>
          <w:szCs w:val="20"/>
          <w:lang w:val="es-ES"/>
        </w:rPr>
        <w:t>con independencia de su eficiencia. La</w:t>
      </w:r>
      <w:r w:rsidRPr="003E391B">
        <w:rPr>
          <w:color w:val="000000" w:themeColor="text1"/>
          <w:sz w:val="20"/>
          <w:szCs w:val="20"/>
          <w:lang w:val="es-ES"/>
        </w:rPr>
        <w:t xml:space="preserve"> </w:t>
      </w:r>
      <w:r w:rsidRPr="003E391B">
        <w:rPr>
          <w:rStyle w:val="hps"/>
          <w:color w:val="000000" w:themeColor="text1"/>
          <w:sz w:val="20"/>
          <w:szCs w:val="20"/>
          <w:lang w:val="es-ES"/>
        </w:rPr>
        <w:t>regulación asimétrica tiende a</w:t>
      </w:r>
      <w:r w:rsidRPr="003E391B">
        <w:rPr>
          <w:color w:val="000000" w:themeColor="text1"/>
          <w:sz w:val="20"/>
          <w:szCs w:val="20"/>
          <w:lang w:val="es-ES"/>
        </w:rPr>
        <w:t xml:space="preserve"> </w:t>
      </w:r>
      <w:r w:rsidRPr="003E391B">
        <w:rPr>
          <w:rStyle w:val="hps"/>
          <w:color w:val="000000" w:themeColor="text1"/>
          <w:sz w:val="20"/>
          <w:szCs w:val="20"/>
          <w:lang w:val="es-ES"/>
        </w:rPr>
        <w:t>distorsionar el</w:t>
      </w:r>
      <w:r w:rsidRPr="003E391B">
        <w:rPr>
          <w:color w:val="000000" w:themeColor="text1"/>
          <w:sz w:val="20"/>
          <w:szCs w:val="20"/>
          <w:lang w:val="es-ES"/>
        </w:rPr>
        <w:t xml:space="preserve"> </w:t>
      </w:r>
      <w:r w:rsidRPr="003E391B">
        <w:rPr>
          <w:rStyle w:val="hps"/>
          <w:color w:val="000000" w:themeColor="text1"/>
          <w:sz w:val="20"/>
          <w:szCs w:val="20"/>
          <w:lang w:val="es-ES"/>
        </w:rPr>
        <w:t>proceso de competencia.</w:t>
      </w:r>
    </w:p>
    <w:p w:rsidR="006C5565" w:rsidRPr="003E391B" w:rsidRDefault="006C5565" w:rsidP="000C0221">
      <w:pPr>
        <w:pStyle w:val="Default"/>
        <w:autoSpaceDE/>
        <w:autoSpaceDN/>
        <w:adjustRightInd/>
        <w:spacing w:after="120"/>
        <w:jc w:val="both"/>
        <w:rPr>
          <w:rStyle w:val="hps"/>
          <w:color w:val="000000" w:themeColor="text1"/>
          <w:sz w:val="20"/>
          <w:szCs w:val="20"/>
          <w:lang w:val="es-ES"/>
        </w:rPr>
      </w:pPr>
      <w:r w:rsidRPr="003E391B">
        <w:rPr>
          <w:rStyle w:val="hps"/>
          <w:color w:val="000000" w:themeColor="text1"/>
          <w:sz w:val="20"/>
          <w:szCs w:val="20"/>
          <w:lang w:val="es-ES"/>
        </w:rPr>
        <w:t xml:space="preserve">En general todos los autores </w:t>
      </w:r>
      <w:r w:rsidR="00B05D76">
        <w:rPr>
          <w:rStyle w:val="hps"/>
          <w:color w:val="000000" w:themeColor="text1"/>
          <w:sz w:val="20"/>
          <w:szCs w:val="20"/>
          <w:lang w:val="es-ES"/>
        </w:rPr>
        <w:t xml:space="preserve">consultados </w:t>
      </w:r>
      <w:r w:rsidR="00EA00DA" w:rsidRPr="003E391B">
        <w:rPr>
          <w:rStyle w:val="hps"/>
          <w:color w:val="000000" w:themeColor="text1"/>
          <w:sz w:val="20"/>
          <w:szCs w:val="20"/>
          <w:lang w:val="es-ES"/>
        </w:rPr>
        <w:t>(</w:t>
      </w:r>
      <w:proofErr w:type="spellStart"/>
      <w:r w:rsidR="00EA00DA" w:rsidRPr="003E391B">
        <w:rPr>
          <w:color w:val="000000" w:themeColor="text1"/>
          <w:sz w:val="20"/>
          <w:szCs w:val="20"/>
        </w:rPr>
        <w:t>Valletti</w:t>
      </w:r>
      <w:proofErr w:type="spellEnd"/>
      <w:r w:rsidR="00EA00DA" w:rsidRPr="003E391B">
        <w:rPr>
          <w:color w:val="000000" w:themeColor="text1"/>
          <w:sz w:val="20"/>
          <w:szCs w:val="20"/>
        </w:rPr>
        <w:t xml:space="preserve">, 2006; </w:t>
      </w:r>
      <w:proofErr w:type="spellStart"/>
      <w:r w:rsidR="00EA00DA" w:rsidRPr="003E391B">
        <w:rPr>
          <w:color w:val="000000" w:themeColor="text1"/>
          <w:sz w:val="20"/>
          <w:szCs w:val="20"/>
        </w:rPr>
        <w:t>Crandall</w:t>
      </w:r>
      <w:proofErr w:type="spellEnd"/>
      <w:r w:rsidR="00EA00DA" w:rsidRPr="003E391B">
        <w:rPr>
          <w:color w:val="000000" w:themeColor="text1"/>
          <w:sz w:val="20"/>
          <w:szCs w:val="20"/>
        </w:rPr>
        <w:t xml:space="preserve">, </w:t>
      </w:r>
      <w:proofErr w:type="spellStart"/>
      <w:r w:rsidR="00EA00DA" w:rsidRPr="003E391B">
        <w:rPr>
          <w:color w:val="000000" w:themeColor="text1"/>
          <w:sz w:val="20"/>
          <w:szCs w:val="20"/>
        </w:rPr>
        <w:t>Sidak</w:t>
      </w:r>
      <w:proofErr w:type="spellEnd"/>
      <w:r w:rsidR="00EA00DA" w:rsidRPr="003E391B">
        <w:rPr>
          <w:color w:val="000000" w:themeColor="text1"/>
          <w:sz w:val="20"/>
          <w:szCs w:val="20"/>
        </w:rPr>
        <w:t xml:space="preserve"> y Singer, 2001, </w:t>
      </w:r>
      <w:proofErr w:type="spellStart"/>
      <w:r w:rsidR="00EA00DA" w:rsidRPr="003E391B">
        <w:rPr>
          <w:color w:val="000000" w:themeColor="text1"/>
          <w:sz w:val="20"/>
          <w:szCs w:val="20"/>
        </w:rPr>
        <w:t>Dewenter</w:t>
      </w:r>
      <w:proofErr w:type="spellEnd"/>
      <w:r w:rsidR="00EA00DA" w:rsidRPr="003E391B">
        <w:rPr>
          <w:color w:val="000000" w:themeColor="text1"/>
          <w:sz w:val="20"/>
          <w:szCs w:val="20"/>
        </w:rPr>
        <w:t xml:space="preserve"> y </w:t>
      </w:r>
      <w:proofErr w:type="spellStart"/>
      <w:r w:rsidR="00EA00DA" w:rsidRPr="003E391B">
        <w:rPr>
          <w:color w:val="000000" w:themeColor="text1"/>
          <w:sz w:val="20"/>
          <w:szCs w:val="20"/>
        </w:rPr>
        <w:t>Haucap</w:t>
      </w:r>
      <w:proofErr w:type="spellEnd"/>
      <w:r w:rsidR="00EA00DA" w:rsidRPr="003E391B">
        <w:rPr>
          <w:color w:val="000000" w:themeColor="text1"/>
          <w:sz w:val="20"/>
          <w:szCs w:val="20"/>
        </w:rPr>
        <w:t xml:space="preserve">, 2005; </w:t>
      </w:r>
      <w:proofErr w:type="spellStart"/>
      <w:r w:rsidR="00EA00DA" w:rsidRPr="003E391B">
        <w:rPr>
          <w:bCs/>
          <w:color w:val="000000" w:themeColor="text1"/>
          <w:sz w:val="20"/>
          <w:szCs w:val="20"/>
        </w:rPr>
        <w:t>Chou</w:t>
      </w:r>
      <w:proofErr w:type="spellEnd"/>
      <w:r w:rsidR="00EA00DA" w:rsidRPr="003E391B">
        <w:rPr>
          <w:bCs/>
          <w:color w:val="000000" w:themeColor="text1"/>
          <w:sz w:val="20"/>
          <w:szCs w:val="20"/>
        </w:rPr>
        <w:t xml:space="preserve"> y </w:t>
      </w:r>
      <w:proofErr w:type="spellStart"/>
      <w:r w:rsidR="00EA00DA" w:rsidRPr="003E391B">
        <w:rPr>
          <w:bCs/>
          <w:color w:val="000000" w:themeColor="text1"/>
          <w:sz w:val="20"/>
          <w:szCs w:val="20"/>
        </w:rPr>
        <w:t>Liu</w:t>
      </w:r>
      <w:proofErr w:type="spellEnd"/>
      <w:r w:rsidR="00EA00DA" w:rsidRPr="003E391B">
        <w:rPr>
          <w:bCs/>
          <w:color w:val="000000" w:themeColor="text1"/>
          <w:sz w:val="20"/>
          <w:szCs w:val="20"/>
        </w:rPr>
        <w:t>, 2006</w:t>
      </w:r>
      <w:r w:rsidR="00EA00DA" w:rsidRPr="003E391B">
        <w:rPr>
          <w:color w:val="000000" w:themeColor="text1"/>
          <w:sz w:val="20"/>
          <w:szCs w:val="20"/>
        </w:rPr>
        <w:t xml:space="preserve">) </w:t>
      </w:r>
      <w:r w:rsidRPr="003E391B">
        <w:rPr>
          <w:rStyle w:val="hps"/>
          <w:color w:val="000000" w:themeColor="text1"/>
          <w:sz w:val="20"/>
          <w:szCs w:val="20"/>
          <w:lang w:val="es-ES"/>
        </w:rPr>
        <w:t xml:space="preserve">coinciden en que los esquemas asimétricos deben de ser de aplicación limitada en el tiempo. </w:t>
      </w:r>
    </w:p>
    <w:p w:rsidR="006C5565" w:rsidRPr="003E391B" w:rsidRDefault="006C5565" w:rsidP="000C0221">
      <w:pPr>
        <w:pStyle w:val="Default"/>
        <w:autoSpaceDE/>
        <w:autoSpaceDN/>
        <w:adjustRightInd/>
        <w:spacing w:after="120"/>
        <w:jc w:val="both"/>
        <w:rPr>
          <w:color w:val="000000" w:themeColor="text1"/>
          <w:sz w:val="20"/>
          <w:szCs w:val="20"/>
        </w:rPr>
      </w:pPr>
      <w:r w:rsidRPr="003E391B">
        <w:rPr>
          <w:color w:val="000000" w:themeColor="text1"/>
          <w:sz w:val="20"/>
          <w:szCs w:val="20"/>
        </w:rPr>
        <w:t xml:space="preserve">El modelo que se estima para México, se basa en el planteamiento de </w:t>
      </w:r>
      <w:proofErr w:type="spellStart"/>
      <w:r w:rsidRPr="003E391B">
        <w:rPr>
          <w:color w:val="000000" w:themeColor="text1"/>
          <w:sz w:val="20"/>
          <w:szCs w:val="20"/>
        </w:rPr>
        <w:t>Peitz</w:t>
      </w:r>
      <w:proofErr w:type="spellEnd"/>
      <w:r w:rsidRPr="003E391B">
        <w:rPr>
          <w:color w:val="000000" w:themeColor="text1"/>
          <w:sz w:val="20"/>
          <w:szCs w:val="20"/>
        </w:rPr>
        <w:t xml:space="preserve"> (2005a y b) y en los resultados de la aplicación que </w:t>
      </w:r>
      <w:proofErr w:type="spellStart"/>
      <w:r w:rsidRPr="003E391B">
        <w:rPr>
          <w:color w:val="000000" w:themeColor="text1"/>
          <w:sz w:val="20"/>
          <w:szCs w:val="20"/>
        </w:rPr>
        <w:t>Baranes</w:t>
      </w:r>
      <w:proofErr w:type="spellEnd"/>
      <w:r w:rsidRPr="003E391B">
        <w:rPr>
          <w:color w:val="000000" w:themeColor="text1"/>
          <w:sz w:val="20"/>
          <w:szCs w:val="20"/>
        </w:rPr>
        <w:t xml:space="preserve"> et al (2011</w:t>
      </w:r>
      <w:r w:rsidR="00EA00DA" w:rsidRPr="003E391B">
        <w:rPr>
          <w:color w:val="000000" w:themeColor="text1"/>
          <w:sz w:val="20"/>
          <w:szCs w:val="20"/>
        </w:rPr>
        <w:t>a y b</w:t>
      </w:r>
      <w:r w:rsidRPr="003E391B">
        <w:rPr>
          <w:color w:val="000000" w:themeColor="text1"/>
          <w:sz w:val="20"/>
          <w:szCs w:val="20"/>
        </w:rPr>
        <w:t xml:space="preserve">) realizan para países europeos usando el modelo de </w:t>
      </w:r>
      <w:proofErr w:type="spellStart"/>
      <w:r w:rsidRPr="003E391B">
        <w:rPr>
          <w:color w:val="000000" w:themeColor="text1"/>
          <w:sz w:val="20"/>
          <w:szCs w:val="20"/>
        </w:rPr>
        <w:t>Peitz</w:t>
      </w:r>
      <w:proofErr w:type="spellEnd"/>
      <w:r w:rsidRPr="003E391B">
        <w:rPr>
          <w:color w:val="000000" w:themeColor="text1"/>
          <w:sz w:val="20"/>
          <w:szCs w:val="20"/>
        </w:rPr>
        <w:t xml:space="preserve"> señalado. Ante los hallazgos ta</w:t>
      </w:r>
      <w:r w:rsidR="00EA32FB" w:rsidRPr="003E391B">
        <w:rPr>
          <w:color w:val="000000" w:themeColor="text1"/>
          <w:sz w:val="20"/>
          <w:szCs w:val="20"/>
        </w:rPr>
        <w:t>n diferentes en la literatura en cuanto a</w:t>
      </w:r>
      <w:r w:rsidRPr="003E391B">
        <w:rPr>
          <w:color w:val="000000" w:themeColor="text1"/>
          <w:sz w:val="20"/>
          <w:szCs w:val="20"/>
        </w:rPr>
        <w:t xml:space="preserve"> las tarifas asimétricas resulta relevante analizar su aplicación en México. </w:t>
      </w:r>
    </w:p>
    <w:p w:rsidR="00741A19" w:rsidRPr="005D226A" w:rsidRDefault="00741A19" w:rsidP="000C0221">
      <w:pPr>
        <w:pStyle w:val="Default"/>
        <w:autoSpaceDE/>
        <w:autoSpaceDN/>
        <w:adjustRightInd/>
        <w:spacing w:after="120"/>
        <w:jc w:val="both"/>
        <w:rPr>
          <w:rStyle w:val="hps"/>
          <w:color w:val="000000" w:themeColor="text1"/>
          <w:lang w:val="es-ES"/>
        </w:rPr>
      </w:pPr>
    </w:p>
    <w:p w:rsidR="009F3F52" w:rsidRPr="003E391B" w:rsidRDefault="001441F7" w:rsidP="00EA00DA">
      <w:pPr>
        <w:pStyle w:val="Ttulo2"/>
        <w:spacing w:line="360" w:lineRule="auto"/>
        <w:rPr>
          <w:rFonts w:ascii="Arial" w:hAnsi="Arial" w:cs="Arial"/>
          <w:b/>
          <w:caps/>
          <w:color w:val="000000" w:themeColor="text1"/>
          <w:sz w:val="18"/>
          <w:szCs w:val="18"/>
        </w:rPr>
      </w:pPr>
      <w:r w:rsidRPr="003E391B">
        <w:rPr>
          <w:rFonts w:ascii="Arial" w:hAnsi="Arial" w:cs="Arial"/>
          <w:b/>
          <w:caps/>
          <w:color w:val="000000" w:themeColor="text1"/>
          <w:sz w:val="18"/>
          <w:szCs w:val="18"/>
        </w:rPr>
        <w:t>Modelo de C</w:t>
      </w:r>
      <w:r w:rsidR="009F3F52" w:rsidRPr="003E391B">
        <w:rPr>
          <w:rFonts w:ascii="Arial" w:hAnsi="Arial" w:cs="Arial"/>
          <w:b/>
          <w:caps/>
          <w:color w:val="000000" w:themeColor="text1"/>
          <w:sz w:val="18"/>
          <w:szCs w:val="18"/>
        </w:rPr>
        <w:t xml:space="preserve">ausalidad </w:t>
      </w:r>
    </w:p>
    <w:p w:rsidR="008B591B" w:rsidRDefault="009F3F52" w:rsidP="00316609">
      <w:pPr>
        <w:widowControl w:val="0"/>
        <w:autoSpaceDE w:val="0"/>
        <w:autoSpaceDN w:val="0"/>
        <w:adjustRightInd w:val="0"/>
        <w:spacing w:after="120" w:line="240" w:lineRule="auto"/>
        <w:jc w:val="both"/>
        <w:rPr>
          <w:rFonts w:ascii="Times New Roman" w:hAnsi="Times New Roman" w:cs="Times New Roman"/>
          <w:sz w:val="24"/>
          <w:szCs w:val="24"/>
        </w:rPr>
      </w:pPr>
      <w:r w:rsidRPr="008B591B">
        <w:rPr>
          <w:rFonts w:ascii="Arial" w:hAnsi="Arial" w:cs="Arial"/>
          <w:b/>
          <w:sz w:val="18"/>
          <w:szCs w:val="18"/>
        </w:rPr>
        <w:t xml:space="preserve">Aplicación al Modelo de </w:t>
      </w:r>
      <w:proofErr w:type="spellStart"/>
      <w:r w:rsidRPr="008B591B">
        <w:rPr>
          <w:rFonts w:ascii="Arial" w:hAnsi="Arial" w:cs="Arial"/>
          <w:b/>
          <w:sz w:val="18"/>
          <w:szCs w:val="18"/>
        </w:rPr>
        <w:t>Peitz</w:t>
      </w:r>
      <w:proofErr w:type="spellEnd"/>
    </w:p>
    <w:p w:rsidR="00F02AB7" w:rsidRPr="003E391B" w:rsidRDefault="008E4FD1" w:rsidP="00316609">
      <w:pPr>
        <w:widowControl w:val="0"/>
        <w:autoSpaceDE w:val="0"/>
        <w:autoSpaceDN w:val="0"/>
        <w:adjustRightInd w:val="0"/>
        <w:spacing w:after="120" w:line="240" w:lineRule="auto"/>
        <w:jc w:val="both"/>
        <w:rPr>
          <w:rFonts w:ascii="Times New Roman" w:hAnsi="Times New Roman" w:cs="Times New Roman"/>
          <w:sz w:val="20"/>
          <w:szCs w:val="20"/>
        </w:rPr>
      </w:pPr>
      <w:r w:rsidRPr="003E391B">
        <w:rPr>
          <w:rFonts w:ascii="Times New Roman" w:hAnsi="Times New Roman" w:cs="Times New Roman"/>
          <w:sz w:val="20"/>
          <w:szCs w:val="20"/>
        </w:rPr>
        <w:t>S</w:t>
      </w:r>
      <w:r w:rsidR="009F3F52" w:rsidRPr="003E391B">
        <w:rPr>
          <w:rFonts w:ascii="Times New Roman" w:hAnsi="Times New Roman" w:cs="Times New Roman"/>
          <w:sz w:val="20"/>
          <w:szCs w:val="20"/>
        </w:rPr>
        <w:t xml:space="preserve">e elaboró un modelo </w:t>
      </w:r>
      <w:r w:rsidR="006C5565" w:rsidRPr="003E391B">
        <w:rPr>
          <w:rFonts w:ascii="Times New Roman" w:hAnsi="Times New Roman" w:cs="Times New Roman"/>
          <w:sz w:val="20"/>
          <w:szCs w:val="20"/>
        </w:rPr>
        <w:t xml:space="preserve">de </w:t>
      </w:r>
      <w:r w:rsidR="006C5565" w:rsidRPr="00316609">
        <w:rPr>
          <w:rFonts w:ascii="Times New Roman" w:hAnsi="Times New Roman" w:cs="Times New Roman"/>
          <w:sz w:val="20"/>
          <w:szCs w:val="20"/>
        </w:rPr>
        <w:t>series de tiempo</w:t>
      </w:r>
      <w:r w:rsidR="006C5565" w:rsidRPr="003E391B">
        <w:rPr>
          <w:rFonts w:ascii="Times New Roman" w:hAnsi="Times New Roman" w:cs="Times New Roman"/>
          <w:sz w:val="20"/>
          <w:szCs w:val="20"/>
        </w:rPr>
        <w:t xml:space="preserve"> </w:t>
      </w:r>
      <w:r w:rsidR="009F3F52" w:rsidRPr="003E391B">
        <w:rPr>
          <w:rFonts w:ascii="Times New Roman" w:hAnsi="Times New Roman" w:cs="Times New Roman"/>
          <w:sz w:val="20"/>
          <w:szCs w:val="20"/>
        </w:rPr>
        <w:t xml:space="preserve">que mide el efecto de </w:t>
      </w:r>
      <w:r w:rsidRPr="003E391B">
        <w:rPr>
          <w:rFonts w:ascii="Times New Roman" w:hAnsi="Times New Roman" w:cs="Times New Roman"/>
          <w:sz w:val="20"/>
          <w:szCs w:val="20"/>
        </w:rPr>
        <w:t xml:space="preserve">las </w:t>
      </w:r>
      <w:r w:rsidR="007F2503" w:rsidRPr="003E391B">
        <w:rPr>
          <w:rFonts w:ascii="Times New Roman" w:hAnsi="Times New Roman" w:cs="Times New Roman"/>
          <w:sz w:val="20"/>
          <w:szCs w:val="20"/>
        </w:rPr>
        <w:t xml:space="preserve">TTM asimétricas en los </w:t>
      </w:r>
      <w:r w:rsidR="00034ABE" w:rsidRPr="003E391B">
        <w:rPr>
          <w:rFonts w:ascii="Times New Roman" w:hAnsi="Times New Roman" w:cs="Times New Roman"/>
          <w:sz w:val="20"/>
          <w:szCs w:val="20"/>
        </w:rPr>
        <w:t>ingreso</w:t>
      </w:r>
      <w:r w:rsidR="00741A19" w:rsidRPr="003E391B">
        <w:rPr>
          <w:rFonts w:ascii="Times New Roman" w:hAnsi="Times New Roman" w:cs="Times New Roman"/>
          <w:sz w:val="20"/>
          <w:szCs w:val="20"/>
        </w:rPr>
        <w:t>s de</w:t>
      </w:r>
      <w:r w:rsidR="007F2503" w:rsidRPr="003E391B">
        <w:rPr>
          <w:rFonts w:ascii="Times New Roman" w:hAnsi="Times New Roman" w:cs="Times New Roman"/>
          <w:sz w:val="20"/>
          <w:szCs w:val="20"/>
        </w:rPr>
        <w:t xml:space="preserve"> voz </w:t>
      </w:r>
      <w:r w:rsidR="00034ABE" w:rsidRPr="003E391B">
        <w:rPr>
          <w:rFonts w:ascii="Times New Roman" w:hAnsi="Times New Roman" w:cs="Times New Roman"/>
          <w:sz w:val="20"/>
          <w:szCs w:val="20"/>
        </w:rPr>
        <w:t>por minuto (</w:t>
      </w:r>
      <w:proofErr w:type="spellStart"/>
      <w:r w:rsidR="009F3F52" w:rsidRPr="003E391B">
        <w:rPr>
          <w:rFonts w:ascii="Times New Roman" w:hAnsi="Times New Roman" w:cs="Times New Roman"/>
          <w:sz w:val="20"/>
          <w:szCs w:val="20"/>
        </w:rPr>
        <w:t>IpM</w:t>
      </w:r>
      <w:proofErr w:type="spellEnd"/>
      <w:r w:rsidR="00034ABE" w:rsidRPr="003E391B">
        <w:rPr>
          <w:rFonts w:ascii="Times New Roman" w:hAnsi="Times New Roman" w:cs="Times New Roman"/>
          <w:sz w:val="20"/>
          <w:szCs w:val="20"/>
        </w:rPr>
        <w:t>)</w:t>
      </w:r>
      <w:r w:rsidR="000920F6" w:rsidRPr="003E391B">
        <w:rPr>
          <w:rFonts w:ascii="Times New Roman" w:hAnsi="Times New Roman" w:cs="Times New Roman"/>
          <w:sz w:val="20"/>
          <w:szCs w:val="20"/>
        </w:rPr>
        <w:t>, por ser este indicador una medida aproximada del precio por minuto que el usuario paga</w:t>
      </w:r>
      <w:r w:rsidR="000920F6" w:rsidRPr="005D226A">
        <w:rPr>
          <w:rFonts w:ascii="Times New Roman" w:hAnsi="Times New Roman" w:cs="Times New Roman"/>
          <w:sz w:val="24"/>
          <w:szCs w:val="24"/>
        </w:rPr>
        <w:t xml:space="preserve"> </w:t>
      </w:r>
      <w:r w:rsidR="000920F6" w:rsidRPr="003E391B">
        <w:rPr>
          <w:rFonts w:ascii="Times New Roman" w:hAnsi="Times New Roman" w:cs="Times New Roman"/>
          <w:sz w:val="20"/>
          <w:szCs w:val="20"/>
        </w:rPr>
        <w:t>por el servicio</w:t>
      </w:r>
      <w:r w:rsidR="007F2503" w:rsidRPr="003E391B">
        <w:rPr>
          <w:rFonts w:ascii="Times New Roman" w:hAnsi="Times New Roman" w:cs="Times New Roman"/>
          <w:sz w:val="20"/>
          <w:szCs w:val="20"/>
        </w:rPr>
        <w:t xml:space="preserve"> de voz</w:t>
      </w:r>
      <w:r w:rsidR="003D6B95" w:rsidRPr="007D37B6">
        <w:rPr>
          <w:rFonts w:ascii="Times New Roman" w:hAnsi="Times New Roman" w:cs="Times New Roman"/>
          <w:sz w:val="20"/>
          <w:szCs w:val="20"/>
        </w:rPr>
        <w:t xml:space="preserve">, </w:t>
      </w:r>
      <w:r w:rsidR="00316609">
        <w:rPr>
          <w:rFonts w:ascii="Times New Roman" w:hAnsi="Times New Roman" w:cs="Times New Roman"/>
          <w:sz w:val="20"/>
          <w:szCs w:val="20"/>
        </w:rPr>
        <w:t>(</w:t>
      </w:r>
      <w:proofErr w:type="spellStart"/>
      <w:r w:rsidR="00316609">
        <w:rPr>
          <w:rFonts w:ascii="Times New Roman" w:hAnsi="Times New Roman" w:cs="Times New Roman"/>
          <w:sz w:val="20"/>
          <w:szCs w:val="20"/>
        </w:rPr>
        <w:t>Hausman</w:t>
      </w:r>
      <w:proofErr w:type="spellEnd"/>
      <w:r w:rsidR="00316609">
        <w:rPr>
          <w:rFonts w:ascii="Times New Roman" w:hAnsi="Times New Roman" w:cs="Times New Roman"/>
          <w:sz w:val="20"/>
          <w:szCs w:val="20"/>
        </w:rPr>
        <w:t xml:space="preserve"> </w:t>
      </w:r>
      <w:r w:rsidR="007D37B6" w:rsidRPr="007D37B6">
        <w:rPr>
          <w:rFonts w:ascii="Times New Roman" w:hAnsi="Times New Roman" w:cs="Times New Roman"/>
          <w:sz w:val="20"/>
          <w:szCs w:val="20"/>
        </w:rPr>
        <w:t>2013</w:t>
      </w:r>
      <w:r w:rsidR="003D6B95" w:rsidRPr="007D37B6">
        <w:rPr>
          <w:rFonts w:ascii="Times New Roman" w:hAnsi="Times New Roman" w:cs="Times New Roman"/>
          <w:sz w:val="20"/>
          <w:szCs w:val="20"/>
        </w:rPr>
        <w:t>)</w:t>
      </w:r>
      <w:r w:rsidR="000920F6" w:rsidRPr="007D37B6">
        <w:rPr>
          <w:rStyle w:val="Refdenotaalpie"/>
          <w:rFonts w:ascii="Times New Roman" w:hAnsi="Times New Roman" w:cs="Times New Roman"/>
          <w:sz w:val="20"/>
          <w:szCs w:val="20"/>
        </w:rPr>
        <w:footnoteReference w:id="10"/>
      </w:r>
      <w:r w:rsidR="009F3F52" w:rsidRPr="007D37B6">
        <w:rPr>
          <w:rFonts w:ascii="Times New Roman" w:hAnsi="Times New Roman" w:cs="Times New Roman"/>
          <w:sz w:val="20"/>
          <w:szCs w:val="20"/>
        </w:rPr>
        <w:t xml:space="preserve">. </w:t>
      </w:r>
      <w:r w:rsidR="003D6B95" w:rsidRPr="007D37B6">
        <w:rPr>
          <w:rFonts w:ascii="Times New Roman" w:hAnsi="Times New Roman" w:cs="Times New Roman"/>
          <w:sz w:val="20"/>
          <w:szCs w:val="20"/>
        </w:rPr>
        <w:t>Para medir el impacto de la asimetría regulatoria, se introduce el indicador AR, que mide la diferencia entre las tarifas aplicadas</w:t>
      </w:r>
      <w:r w:rsidR="003D6B95" w:rsidRPr="003E391B">
        <w:rPr>
          <w:rFonts w:ascii="Times New Roman" w:hAnsi="Times New Roman" w:cs="Times New Roman"/>
          <w:sz w:val="20"/>
          <w:szCs w:val="20"/>
        </w:rPr>
        <w:t xml:space="preserve"> por el </w:t>
      </w:r>
      <w:r w:rsidR="000C0221" w:rsidRPr="003E391B">
        <w:rPr>
          <w:rFonts w:ascii="Times New Roman" w:hAnsi="Times New Roman" w:cs="Times New Roman"/>
          <w:sz w:val="20"/>
          <w:szCs w:val="20"/>
        </w:rPr>
        <w:t>preponderante</w:t>
      </w:r>
      <w:r w:rsidR="003D6B95" w:rsidRPr="003E391B">
        <w:rPr>
          <w:rFonts w:ascii="Times New Roman" w:hAnsi="Times New Roman" w:cs="Times New Roman"/>
          <w:sz w:val="20"/>
          <w:szCs w:val="20"/>
        </w:rPr>
        <w:t xml:space="preserve"> y los “entrantes”</w:t>
      </w:r>
      <w:r w:rsidR="00F02AB7" w:rsidRPr="003E391B">
        <w:rPr>
          <w:rFonts w:ascii="Times New Roman" w:hAnsi="Times New Roman" w:cs="Times New Roman"/>
          <w:sz w:val="20"/>
          <w:szCs w:val="20"/>
        </w:rPr>
        <w:t>, ponderada por las participaci</w:t>
      </w:r>
      <w:r w:rsidR="00571490">
        <w:rPr>
          <w:rFonts w:ascii="Times New Roman" w:hAnsi="Times New Roman" w:cs="Times New Roman"/>
          <w:sz w:val="20"/>
          <w:szCs w:val="20"/>
        </w:rPr>
        <w:t>ones relativas de ambos grupos (</w:t>
      </w:r>
      <w:proofErr w:type="gramStart"/>
      <w:r w:rsidR="000C0221" w:rsidRPr="003E391B">
        <w:rPr>
          <w:rFonts w:ascii="Times New Roman" w:hAnsi="Times New Roman" w:cs="Times New Roman"/>
          <w:sz w:val="20"/>
          <w:szCs w:val="20"/>
        </w:rPr>
        <w:t>preponderante</w:t>
      </w:r>
      <w:proofErr w:type="gramEnd"/>
      <w:r w:rsidR="00F02AB7" w:rsidRPr="003E391B">
        <w:rPr>
          <w:rFonts w:ascii="Times New Roman" w:hAnsi="Times New Roman" w:cs="Times New Roman"/>
          <w:sz w:val="20"/>
          <w:szCs w:val="20"/>
        </w:rPr>
        <w:t xml:space="preserve"> y entrantes)</w:t>
      </w:r>
      <w:r w:rsidR="003D6B95" w:rsidRPr="003E391B">
        <w:rPr>
          <w:rFonts w:ascii="Times New Roman" w:hAnsi="Times New Roman" w:cs="Times New Roman"/>
          <w:sz w:val="20"/>
          <w:szCs w:val="20"/>
        </w:rPr>
        <w:t>. Además se i</w:t>
      </w:r>
      <w:r w:rsidR="00F02AB7" w:rsidRPr="003E391B">
        <w:rPr>
          <w:rFonts w:ascii="Times New Roman" w:hAnsi="Times New Roman" w:cs="Times New Roman"/>
          <w:sz w:val="20"/>
          <w:szCs w:val="20"/>
        </w:rPr>
        <w:t xml:space="preserve">ncluye la TTM promedio ponderado, a fin de dar cuenta del efecto del nivel de dicho cobro. </w:t>
      </w:r>
      <w:r w:rsidR="003D6B95" w:rsidRPr="003E391B">
        <w:rPr>
          <w:rFonts w:ascii="Times New Roman" w:hAnsi="Times New Roman" w:cs="Times New Roman"/>
          <w:sz w:val="20"/>
          <w:szCs w:val="20"/>
        </w:rPr>
        <w:t>Estas dos variables explicativas  miden el impacto que tiene</w:t>
      </w:r>
      <w:r w:rsidR="00F02AB7" w:rsidRPr="003E391B">
        <w:rPr>
          <w:rFonts w:ascii="Times New Roman" w:hAnsi="Times New Roman" w:cs="Times New Roman"/>
          <w:sz w:val="20"/>
          <w:szCs w:val="20"/>
        </w:rPr>
        <w:t xml:space="preserve"> tanto</w:t>
      </w:r>
      <w:r w:rsidR="003D6B95" w:rsidRPr="003E391B">
        <w:rPr>
          <w:rFonts w:ascii="Times New Roman" w:hAnsi="Times New Roman" w:cs="Times New Roman"/>
          <w:sz w:val="20"/>
          <w:szCs w:val="20"/>
        </w:rPr>
        <w:t xml:space="preserve"> el nivel </w:t>
      </w:r>
      <w:r w:rsidR="00F02AB7" w:rsidRPr="003E391B">
        <w:rPr>
          <w:rFonts w:ascii="Times New Roman" w:hAnsi="Times New Roman" w:cs="Times New Roman"/>
          <w:sz w:val="20"/>
          <w:szCs w:val="20"/>
        </w:rPr>
        <w:t>absoluto de la TTM, como el diferencial entre estas, con lo que  se evalúa</w:t>
      </w:r>
      <w:r w:rsidR="009F3F52" w:rsidRPr="003E391B">
        <w:rPr>
          <w:rFonts w:ascii="Times New Roman" w:hAnsi="Times New Roman" w:cs="Times New Roman"/>
          <w:sz w:val="20"/>
          <w:szCs w:val="20"/>
        </w:rPr>
        <w:t xml:space="preserve"> el efecto de la política pública sob</w:t>
      </w:r>
      <w:r w:rsidR="000B105B" w:rsidRPr="003E391B">
        <w:rPr>
          <w:rFonts w:ascii="Times New Roman" w:hAnsi="Times New Roman" w:cs="Times New Roman"/>
          <w:sz w:val="20"/>
          <w:szCs w:val="20"/>
        </w:rPr>
        <w:t xml:space="preserve">re </w:t>
      </w:r>
      <w:r w:rsidR="006D0BDC" w:rsidRPr="003E391B">
        <w:rPr>
          <w:rFonts w:ascii="Times New Roman" w:hAnsi="Times New Roman" w:cs="Times New Roman"/>
          <w:sz w:val="20"/>
          <w:szCs w:val="20"/>
        </w:rPr>
        <w:t>la erogación</w:t>
      </w:r>
      <w:r w:rsidR="00F02AB7" w:rsidRPr="003E391B">
        <w:rPr>
          <w:rFonts w:ascii="Times New Roman" w:hAnsi="Times New Roman" w:cs="Times New Roman"/>
          <w:sz w:val="20"/>
          <w:szCs w:val="20"/>
        </w:rPr>
        <w:t xml:space="preserve"> por minuto que hacen</w:t>
      </w:r>
      <w:r w:rsidR="006D0BDC" w:rsidRPr="003E391B">
        <w:rPr>
          <w:rFonts w:ascii="Times New Roman" w:hAnsi="Times New Roman" w:cs="Times New Roman"/>
          <w:sz w:val="20"/>
          <w:szCs w:val="20"/>
        </w:rPr>
        <w:t xml:space="preserve"> los consumi</w:t>
      </w:r>
      <w:r w:rsidR="00F02AB7" w:rsidRPr="003E391B">
        <w:rPr>
          <w:rFonts w:ascii="Times New Roman" w:hAnsi="Times New Roman" w:cs="Times New Roman"/>
          <w:sz w:val="20"/>
          <w:szCs w:val="20"/>
        </w:rPr>
        <w:t>dores, así como</w:t>
      </w:r>
      <w:r w:rsidR="00255513" w:rsidRPr="003E391B">
        <w:rPr>
          <w:rFonts w:ascii="Times New Roman" w:hAnsi="Times New Roman" w:cs="Times New Roman"/>
          <w:sz w:val="20"/>
          <w:szCs w:val="20"/>
        </w:rPr>
        <w:t xml:space="preserve"> las conclusiones esta</w:t>
      </w:r>
      <w:r w:rsidR="00316609">
        <w:rPr>
          <w:rFonts w:ascii="Times New Roman" w:hAnsi="Times New Roman" w:cs="Times New Roman"/>
          <w:sz w:val="20"/>
          <w:szCs w:val="20"/>
        </w:rPr>
        <w:t xml:space="preserve">blecidas por </w:t>
      </w:r>
      <w:proofErr w:type="spellStart"/>
      <w:r w:rsidR="00316609">
        <w:rPr>
          <w:rFonts w:ascii="Times New Roman" w:hAnsi="Times New Roman" w:cs="Times New Roman"/>
          <w:sz w:val="20"/>
          <w:szCs w:val="20"/>
        </w:rPr>
        <w:t>Peitz</w:t>
      </w:r>
      <w:proofErr w:type="spellEnd"/>
      <w:r w:rsidR="00316609">
        <w:rPr>
          <w:rFonts w:ascii="Times New Roman" w:hAnsi="Times New Roman" w:cs="Times New Roman"/>
          <w:sz w:val="20"/>
          <w:szCs w:val="20"/>
        </w:rPr>
        <w:t xml:space="preserve"> (2005a y </w:t>
      </w:r>
      <w:r w:rsidR="00255513" w:rsidRPr="003E391B">
        <w:rPr>
          <w:rFonts w:ascii="Times New Roman" w:hAnsi="Times New Roman" w:cs="Times New Roman"/>
          <w:sz w:val="20"/>
          <w:szCs w:val="20"/>
        </w:rPr>
        <w:t>b).</w:t>
      </w:r>
      <w:r w:rsidR="009F3F52" w:rsidRPr="003E391B">
        <w:rPr>
          <w:rFonts w:ascii="Times New Roman" w:hAnsi="Times New Roman" w:cs="Times New Roman"/>
          <w:sz w:val="20"/>
          <w:szCs w:val="20"/>
        </w:rPr>
        <w:t xml:space="preserve"> </w:t>
      </w:r>
      <w:r w:rsidR="000B105B" w:rsidRPr="003E391B">
        <w:rPr>
          <w:rFonts w:ascii="Times New Roman" w:hAnsi="Times New Roman" w:cs="Times New Roman"/>
          <w:sz w:val="20"/>
          <w:szCs w:val="20"/>
        </w:rPr>
        <w:t xml:space="preserve"> </w:t>
      </w:r>
      <w:r w:rsidR="00034ABE" w:rsidRPr="003E391B">
        <w:rPr>
          <w:rFonts w:ascii="Times New Roman" w:hAnsi="Times New Roman" w:cs="Times New Roman"/>
          <w:sz w:val="20"/>
          <w:szCs w:val="20"/>
        </w:rPr>
        <w:t xml:space="preserve">El modelo considera que las TTM son una parte importante de los costos del operador y por tanto son recuperadas a través de los cargos al consumidor. </w:t>
      </w:r>
      <w:r w:rsidR="00B11104" w:rsidRPr="003E391B">
        <w:rPr>
          <w:rFonts w:ascii="Times New Roman" w:hAnsi="Times New Roman" w:cs="Times New Roman"/>
          <w:sz w:val="20"/>
          <w:szCs w:val="20"/>
        </w:rPr>
        <w:t xml:space="preserve">Otros costos variables asociados a la generación del servicio son poco significativos y son capturados por los residuales. </w:t>
      </w:r>
    </w:p>
    <w:p w:rsidR="00A373AB" w:rsidRPr="003E391B" w:rsidRDefault="002825D3" w:rsidP="00EF10D2">
      <w:pPr>
        <w:widowControl w:val="0"/>
        <w:autoSpaceDE w:val="0"/>
        <w:autoSpaceDN w:val="0"/>
        <w:adjustRightInd w:val="0"/>
        <w:spacing w:after="0" w:line="240" w:lineRule="auto"/>
        <w:jc w:val="both"/>
        <w:rPr>
          <w:rFonts w:ascii="Times New Roman" w:hAnsi="Times New Roman" w:cs="Times New Roman"/>
          <w:sz w:val="20"/>
          <w:szCs w:val="20"/>
        </w:rPr>
      </w:pPr>
      <w:r w:rsidRPr="003E391B">
        <w:rPr>
          <w:rFonts w:ascii="Times New Roman" w:hAnsi="Times New Roman" w:cs="Times New Roman"/>
          <w:sz w:val="20"/>
          <w:szCs w:val="20"/>
        </w:rPr>
        <w:t xml:space="preserve">Así también, </w:t>
      </w:r>
      <w:r w:rsidR="00034ABE" w:rsidRPr="003E391B">
        <w:rPr>
          <w:rFonts w:ascii="Times New Roman" w:hAnsi="Times New Roman" w:cs="Times New Roman"/>
          <w:sz w:val="20"/>
          <w:szCs w:val="20"/>
        </w:rPr>
        <w:t xml:space="preserve"> la competencia por el mercado incide de manera importante en la posibilida</w:t>
      </w:r>
      <w:r w:rsidR="000276FD">
        <w:rPr>
          <w:rFonts w:ascii="Times New Roman" w:hAnsi="Times New Roman" w:cs="Times New Roman"/>
          <w:sz w:val="20"/>
          <w:szCs w:val="20"/>
        </w:rPr>
        <w:t>d que tiene un operador de aplicar al precio</w:t>
      </w:r>
      <w:r w:rsidR="00034ABE" w:rsidRPr="003E391B">
        <w:rPr>
          <w:rFonts w:ascii="Times New Roman" w:hAnsi="Times New Roman" w:cs="Times New Roman"/>
          <w:sz w:val="20"/>
          <w:szCs w:val="20"/>
        </w:rPr>
        <w:t xml:space="preserve"> un mayor o menor margen de utilidad; esa competencia es inc</w:t>
      </w:r>
      <w:r w:rsidR="00C94393" w:rsidRPr="003E391B">
        <w:rPr>
          <w:rFonts w:ascii="Times New Roman" w:hAnsi="Times New Roman" w:cs="Times New Roman"/>
          <w:sz w:val="20"/>
          <w:szCs w:val="20"/>
        </w:rPr>
        <w:t xml:space="preserve">orporada al modelo a través del </w:t>
      </w:r>
      <w:r w:rsidR="00034ABE" w:rsidRPr="003E391B">
        <w:rPr>
          <w:rFonts w:ascii="Times New Roman" w:hAnsi="Times New Roman" w:cs="Times New Roman"/>
          <w:sz w:val="20"/>
          <w:szCs w:val="20"/>
        </w:rPr>
        <w:t xml:space="preserve">índice </w:t>
      </w:r>
      <w:proofErr w:type="spellStart"/>
      <w:r w:rsidR="00034ABE" w:rsidRPr="003E391B">
        <w:rPr>
          <w:rFonts w:ascii="Times New Roman" w:hAnsi="Times New Roman" w:cs="Times New Roman"/>
          <w:sz w:val="20"/>
          <w:szCs w:val="20"/>
        </w:rPr>
        <w:t>Herfindahl</w:t>
      </w:r>
      <w:proofErr w:type="spellEnd"/>
      <w:r w:rsidR="00034ABE" w:rsidRPr="003E391B">
        <w:rPr>
          <w:rFonts w:ascii="Times New Roman" w:hAnsi="Times New Roman" w:cs="Times New Roman"/>
          <w:sz w:val="20"/>
          <w:szCs w:val="20"/>
        </w:rPr>
        <w:t xml:space="preserve"> </w:t>
      </w:r>
      <w:proofErr w:type="spellStart"/>
      <w:r w:rsidR="00034ABE" w:rsidRPr="003E391B">
        <w:rPr>
          <w:rFonts w:ascii="Times New Roman" w:hAnsi="Times New Roman" w:cs="Times New Roman"/>
          <w:sz w:val="20"/>
          <w:szCs w:val="20"/>
        </w:rPr>
        <w:t>Hirshman</w:t>
      </w:r>
      <w:proofErr w:type="spellEnd"/>
      <w:r w:rsidR="00034ABE" w:rsidRPr="003E391B">
        <w:rPr>
          <w:rFonts w:ascii="Times New Roman" w:hAnsi="Times New Roman" w:cs="Times New Roman"/>
          <w:sz w:val="20"/>
          <w:szCs w:val="20"/>
        </w:rPr>
        <w:t xml:space="preserve">.  </w:t>
      </w:r>
      <w:r w:rsidR="003D6B95" w:rsidRPr="003E391B">
        <w:rPr>
          <w:rFonts w:ascii="Times New Roman" w:hAnsi="Times New Roman" w:cs="Times New Roman"/>
          <w:sz w:val="20"/>
          <w:szCs w:val="20"/>
        </w:rPr>
        <w:t xml:space="preserve">La variable dependiente </w:t>
      </w:r>
      <w:proofErr w:type="spellStart"/>
      <w:r w:rsidR="003D6B95" w:rsidRPr="003E391B">
        <w:rPr>
          <w:rFonts w:ascii="Times New Roman" w:hAnsi="Times New Roman" w:cs="Times New Roman"/>
          <w:sz w:val="20"/>
          <w:szCs w:val="20"/>
        </w:rPr>
        <w:t>IpM</w:t>
      </w:r>
      <w:proofErr w:type="spellEnd"/>
      <w:r w:rsidR="000276FD">
        <w:rPr>
          <w:rFonts w:ascii="Times New Roman" w:hAnsi="Times New Roman" w:cs="Times New Roman"/>
          <w:sz w:val="20"/>
          <w:szCs w:val="20"/>
        </w:rPr>
        <w:t xml:space="preserve"> y la variable explicativa IHH </w:t>
      </w:r>
      <w:r w:rsidR="00C94393" w:rsidRPr="003E391B">
        <w:rPr>
          <w:rFonts w:ascii="Times New Roman" w:hAnsi="Times New Roman" w:cs="Times New Roman"/>
          <w:sz w:val="20"/>
          <w:szCs w:val="20"/>
        </w:rPr>
        <w:t>son convertidas a logaritmos naturales</w:t>
      </w:r>
      <w:r w:rsidR="003D6B95" w:rsidRPr="003E391B">
        <w:rPr>
          <w:rFonts w:ascii="Times New Roman" w:hAnsi="Times New Roman" w:cs="Times New Roman"/>
          <w:sz w:val="20"/>
          <w:szCs w:val="20"/>
        </w:rPr>
        <w:t>, lo que permite medir la elasticidad entre ambas variables</w:t>
      </w:r>
      <w:r w:rsidR="00C94393" w:rsidRPr="003E391B">
        <w:rPr>
          <w:rFonts w:ascii="Times New Roman" w:hAnsi="Times New Roman" w:cs="Times New Roman"/>
          <w:sz w:val="20"/>
          <w:szCs w:val="20"/>
        </w:rPr>
        <w:t xml:space="preserve">. </w:t>
      </w:r>
    </w:p>
    <w:p w:rsidR="009F3F52" w:rsidRPr="003E391B" w:rsidRDefault="009F3F52" w:rsidP="008B591B">
      <w:pPr>
        <w:widowControl w:val="0"/>
        <w:autoSpaceDE w:val="0"/>
        <w:autoSpaceDN w:val="0"/>
        <w:adjustRightInd w:val="0"/>
        <w:spacing w:after="120" w:line="240" w:lineRule="auto"/>
        <w:jc w:val="both"/>
        <w:rPr>
          <w:rFonts w:ascii="Times New Roman" w:hAnsi="Times New Roman" w:cs="Times New Roman"/>
          <w:sz w:val="20"/>
          <w:szCs w:val="20"/>
        </w:rPr>
      </w:pPr>
      <w:r w:rsidRPr="003E391B">
        <w:rPr>
          <w:rFonts w:ascii="Times New Roman" w:hAnsi="Times New Roman" w:cs="Times New Roman"/>
          <w:sz w:val="20"/>
          <w:szCs w:val="20"/>
        </w:rPr>
        <w:t xml:space="preserve">El modelo se </w:t>
      </w:r>
      <w:r w:rsidR="00034ABE" w:rsidRPr="003E391B">
        <w:rPr>
          <w:rFonts w:ascii="Times New Roman" w:hAnsi="Times New Roman" w:cs="Times New Roman"/>
          <w:sz w:val="20"/>
          <w:szCs w:val="20"/>
        </w:rPr>
        <w:t>aplicó a una serie de tiempo de</w:t>
      </w:r>
      <w:r w:rsidR="000626CB" w:rsidRPr="003E391B">
        <w:rPr>
          <w:rFonts w:ascii="Times New Roman" w:hAnsi="Times New Roman" w:cs="Times New Roman"/>
          <w:sz w:val="20"/>
          <w:szCs w:val="20"/>
        </w:rPr>
        <w:t xml:space="preserve"> </w:t>
      </w:r>
      <w:r w:rsidR="003D6B95" w:rsidRPr="003E391B">
        <w:rPr>
          <w:rFonts w:ascii="Times New Roman" w:hAnsi="Times New Roman" w:cs="Times New Roman"/>
          <w:sz w:val="20"/>
          <w:szCs w:val="20"/>
        </w:rPr>
        <w:t>41 observaciones</w:t>
      </w:r>
      <w:r w:rsidR="00A373AB" w:rsidRPr="003E391B">
        <w:rPr>
          <w:rFonts w:ascii="Times New Roman" w:hAnsi="Times New Roman" w:cs="Times New Roman"/>
          <w:sz w:val="20"/>
          <w:szCs w:val="20"/>
        </w:rPr>
        <w:t xml:space="preserve"> trimestrales correspondientes al </w:t>
      </w:r>
      <w:r w:rsidR="00976C0F" w:rsidRPr="003E391B">
        <w:rPr>
          <w:rFonts w:ascii="Times New Roman" w:hAnsi="Times New Roman" w:cs="Times New Roman"/>
          <w:sz w:val="20"/>
          <w:szCs w:val="20"/>
        </w:rPr>
        <w:t>p</w:t>
      </w:r>
      <w:r w:rsidR="00316609">
        <w:rPr>
          <w:rFonts w:ascii="Times New Roman" w:hAnsi="Times New Roman" w:cs="Times New Roman"/>
          <w:sz w:val="20"/>
          <w:szCs w:val="20"/>
        </w:rPr>
        <w:t xml:space="preserve">eriodo 2005 a </w:t>
      </w:r>
      <w:r w:rsidR="003D6B95" w:rsidRPr="003E391B">
        <w:rPr>
          <w:rFonts w:ascii="Times New Roman" w:hAnsi="Times New Roman" w:cs="Times New Roman"/>
          <w:sz w:val="20"/>
          <w:szCs w:val="20"/>
        </w:rPr>
        <w:t>2015</w:t>
      </w:r>
      <w:r w:rsidR="006749D0" w:rsidRPr="003E391B">
        <w:rPr>
          <w:rFonts w:ascii="Times New Roman" w:hAnsi="Times New Roman" w:cs="Times New Roman"/>
          <w:sz w:val="20"/>
          <w:szCs w:val="20"/>
        </w:rPr>
        <w:t>.</w:t>
      </w:r>
      <w:r w:rsidRPr="003E391B">
        <w:rPr>
          <w:rFonts w:ascii="Times New Roman" w:hAnsi="Times New Roman" w:cs="Times New Roman"/>
          <w:sz w:val="20"/>
          <w:szCs w:val="20"/>
        </w:rPr>
        <w:t xml:space="preserve"> El mo</w:t>
      </w:r>
      <w:r w:rsidR="00B75E6A" w:rsidRPr="003E391B">
        <w:rPr>
          <w:rFonts w:ascii="Times New Roman" w:hAnsi="Times New Roman" w:cs="Times New Roman"/>
          <w:sz w:val="20"/>
          <w:szCs w:val="20"/>
        </w:rPr>
        <w:t xml:space="preserve">delo se describe </w:t>
      </w:r>
      <w:r w:rsidR="00B75E6A" w:rsidRPr="00316609">
        <w:rPr>
          <w:rFonts w:ascii="Times New Roman" w:hAnsi="Times New Roman" w:cs="Times New Roman"/>
          <w:sz w:val="20"/>
          <w:szCs w:val="20"/>
        </w:rPr>
        <w:t>en su forma reducida</w:t>
      </w:r>
      <w:r w:rsidR="00B75E6A" w:rsidRPr="003E391B">
        <w:rPr>
          <w:rFonts w:ascii="Times New Roman" w:hAnsi="Times New Roman" w:cs="Times New Roman"/>
          <w:sz w:val="20"/>
          <w:szCs w:val="20"/>
        </w:rPr>
        <w:t xml:space="preserve"> por</w:t>
      </w:r>
      <w:r w:rsidR="002D1F13" w:rsidRPr="003E391B">
        <w:rPr>
          <w:rFonts w:ascii="Times New Roman" w:hAnsi="Times New Roman" w:cs="Times New Roman"/>
          <w:sz w:val="20"/>
          <w:szCs w:val="20"/>
        </w:rPr>
        <w:t xml:space="preserve"> la siguiente ecuación logarítmica</w:t>
      </w:r>
      <w:r w:rsidRPr="003E391B">
        <w:rPr>
          <w:rFonts w:ascii="Times New Roman" w:hAnsi="Times New Roman" w:cs="Times New Roman"/>
          <w:sz w:val="20"/>
          <w:szCs w:val="20"/>
        </w:rPr>
        <w:t>:</w:t>
      </w:r>
    </w:p>
    <w:p w:rsidR="008B591B" w:rsidRPr="005D226A" w:rsidRDefault="008B591B" w:rsidP="008B591B">
      <w:pPr>
        <w:widowControl w:val="0"/>
        <w:autoSpaceDE w:val="0"/>
        <w:autoSpaceDN w:val="0"/>
        <w:adjustRightInd w:val="0"/>
        <w:spacing w:after="120" w:line="240" w:lineRule="auto"/>
        <w:jc w:val="both"/>
        <w:rPr>
          <w:rFonts w:ascii="Times New Roman" w:hAnsi="Times New Roman" w:cs="Times New Roman"/>
          <w:sz w:val="24"/>
          <w:szCs w:val="24"/>
        </w:rPr>
      </w:pPr>
    </w:p>
    <w:p w:rsidR="009F3F52" w:rsidRPr="005D226A" w:rsidRDefault="002D1F13" w:rsidP="00094390">
      <w:pPr>
        <w:pStyle w:val="Ttulo2"/>
        <w:jc w:val="center"/>
        <w:rPr>
          <w:rFonts w:ascii="Times New Roman" w:hAnsi="Times New Roman" w:cs="Times New Roman"/>
          <w:color w:val="0070C0"/>
          <w:sz w:val="24"/>
          <w:szCs w:val="24"/>
        </w:rPr>
      </w:pPr>
      <w:r w:rsidRPr="005D226A">
        <w:rPr>
          <w:rFonts w:ascii="Times New Roman" w:eastAsiaTheme="minorEastAsia" w:hAnsi="Times New Roman" w:cs="Times New Roman"/>
          <w:sz w:val="24"/>
          <w:szCs w:val="24"/>
        </w:rPr>
        <w:t xml:space="preserve">Ecuación 1.  </w:t>
      </w:r>
      <m:oMath>
        <m:r>
          <m:rPr>
            <m:sty m:val="p"/>
          </m:rPr>
          <w:rPr>
            <w:rFonts w:ascii="Cambria Math" w:hAnsi="Cambria Math" w:cs="Times New Roman"/>
            <w:sz w:val="22"/>
            <w:szCs w:val="22"/>
          </w:rPr>
          <m:t>Ln</m:t>
        </m:r>
        <m:sSub>
          <m:sSubPr>
            <m:ctrlPr>
              <w:rPr>
                <w:rFonts w:ascii="Cambria Math" w:hAnsi="Cambria Math" w:cs="Times New Roman"/>
                <w:iCs/>
                <w:sz w:val="22"/>
                <w:szCs w:val="22"/>
              </w:rPr>
            </m:ctrlPr>
          </m:sSubPr>
          <m:e>
            <m:r>
              <m:rPr>
                <m:sty m:val="p"/>
              </m:rPr>
              <w:rPr>
                <w:rFonts w:ascii="Cambria Math" w:hAnsi="Cambria Math" w:cs="Times New Roman"/>
                <w:sz w:val="22"/>
                <w:szCs w:val="22"/>
              </w:rPr>
              <m:t>IpM</m:t>
            </m:r>
          </m:e>
          <m:sub>
            <m:r>
              <m:rPr>
                <m:sty m:val="p"/>
              </m:rPr>
              <w:rPr>
                <w:rFonts w:ascii="Cambria Math" w:hAnsi="Cambria Math" w:cs="Times New Roman"/>
                <w:sz w:val="22"/>
                <w:szCs w:val="22"/>
              </w:rPr>
              <m:t>t</m:t>
            </m:r>
          </m:sub>
        </m:sSub>
        <m:r>
          <m:rPr>
            <m:sty m:val="p"/>
          </m:rPr>
          <w:rPr>
            <w:rFonts w:ascii="Cambria Math" w:hAnsi="Cambria Math" w:cs="Times New Roman"/>
            <w:sz w:val="22"/>
            <w:szCs w:val="22"/>
          </w:rPr>
          <m:t>=</m:t>
        </m:r>
        <m:sSub>
          <m:sSubPr>
            <m:ctrlPr>
              <w:rPr>
                <w:rFonts w:ascii="Cambria Math" w:eastAsiaTheme="minorHAnsi" w:hAnsi="Cambria Math" w:cs="Times New Roman"/>
                <w:color w:val="auto"/>
                <w:sz w:val="22"/>
                <w:szCs w:val="22"/>
              </w:rPr>
            </m:ctrlPr>
          </m:sSubPr>
          <m:e>
            <m:r>
              <m:rPr>
                <m:sty m:val="p"/>
              </m:rPr>
              <w:rPr>
                <w:rFonts w:ascii="Cambria Math" w:hAnsi="Cambria Math" w:cs="Times New Roman"/>
                <w:sz w:val="22"/>
                <w:szCs w:val="22"/>
              </w:rPr>
              <m:t>a</m:t>
            </m:r>
          </m:e>
          <m:sub>
            <m:r>
              <m:rPr>
                <m:sty m:val="p"/>
              </m:rPr>
              <w:rPr>
                <w:rFonts w:ascii="Cambria Math" w:hAnsi="Cambria Math" w:cs="Times New Roman"/>
                <w:sz w:val="22"/>
                <w:szCs w:val="22"/>
              </w:rPr>
              <m:t>1</m:t>
            </m:r>
          </m:sub>
        </m:sSub>
        <m:r>
          <m:rPr>
            <m:sty m:val="p"/>
          </m:rPr>
          <w:rPr>
            <w:rFonts w:ascii="Cambria Math" w:hAnsi="Cambria Math" w:cs="Times New Roman"/>
            <w:sz w:val="22"/>
            <w:szCs w:val="22"/>
          </w:rPr>
          <m:t>+</m:t>
        </m:r>
        <m:sSub>
          <m:sSubPr>
            <m:ctrlPr>
              <w:rPr>
                <w:rFonts w:ascii="Cambria Math" w:eastAsiaTheme="minorHAnsi" w:hAnsi="Cambria Math" w:cs="Times New Roman"/>
                <w:color w:val="auto"/>
                <w:sz w:val="22"/>
                <w:szCs w:val="22"/>
              </w:rPr>
            </m:ctrlPr>
          </m:sSubPr>
          <m:e>
            <m:r>
              <m:rPr>
                <m:sty m:val="p"/>
              </m:rPr>
              <w:rPr>
                <w:rFonts w:ascii="Cambria Math" w:hAnsi="Cambria Math" w:cs="Times New Roman"/>
                <w:sz w:val="22"/>
                <w:szCs w:val="22"/>
              </w:rPr>
              <m:t>b</m:t>
            </m:r>
          </m:e>
          <m:sub>
            <m:r>
              <m:rPr>
                <m:sty m:val="p"/>
              </m:rPr>
              <w:rPr>
                <w:rFonts w:ascii="Cambria Math" w:hAnsi="Cambria Math" w:cs="Times New Roman"/>
                <w:sz w:val="22"/>
                <w:szCs w:val="22"/>
              </w:rPr>
              <m:t>1</m:t>
            </m:r>
          </m:sub>
        </m:sSub>
        <m:sSub>
          <m:sSubPr>
            <m:ctrlPr>
              <w:rPr>
                <w:rFonts w:ascii="Cambria Math" w:hAnsi="Cambria Math" w:cs="Times New Roman"/>
                <w:iCs/>
                <w:sz w:val="22"/>
                <w:szCs w:val="22"/>
              </w:rPr>
            </m:ctrlPr>
          </m:sSubPr>
          <m:e>
            <m:r>
              <m:rPr>
                <m:sty m:val="p"/>
              </m:rPr>
              <w:rPr>
                <w:rFonts w:ascii="Cambria Math" w:hAnsi="Cambria Math" w:cs="Times New Roman"/>
                <w:sz w:val="22"/>
                <w:szCs w:val="22"/>
              </w:rPr>
              <m:t>LnTTMprom</m:t>
            </m:r>
          </m:e>
          <m:sub>
            <m:r>
              <m:rPr>
                <m:sty m:val="p"/>
              </m:rPr>
              <w:rPr>
                <w:rFonts w:ascii="Cambria Math" w:hAnsi="Cambria Math" w:cs="Times New Roman"/>
                <w:sz w:val="22"/>
                <w:szCs w:val="22"/>
              </w:rPr>
              <m:t>t</m:t>
            </m:r>
          </m:sub>
        </m:sSub>
        <m:r>
          <m:rPr>
            <m:sty m:val="p"/>
          </m:rPr>
          <w:rPr>
            <w:rFonts w:ascii="Cambria Math" w:hAnsi="Cambria Math" w:cs="Times New Roman"/>
            <w:sz w:val="22"/>
            <w:szCs w:val="22"/>
          </w:rPr>
          <m:t>+</m:t>
        </m:r>
        <m:sSub>
          <m:sSubPr>
            <m:ctrlPr>
              <w:rPr>
                <w:rFonts w:ascii="Cambria Math" w:eastAsiaTheme="minorHAnsi" w:hAnsi="Cambria Math" w:cs="Times New Roman"/>
                <w:color w:val="auto"/>
                <w:sz w:val="22"/>
                <w:szCs w:val="22"/>
              </w:rPr>
            </m:ctrlPr>
          </m:sSubPr>
          <m:e>
            <m:r>
              <m:rPr>
                <m:sty m:val="p"/>
              </m:rPr>
              <w:rPr>
                <w:rFonts w:ascii="Cambria Math" w:hAnsi="Cambria Math" w:cs="Times New Roman"/>
                <w:sz w:val="22"/>
                <w:szCs w:val="22"/>
              </w:rPr>
              <m:t>b</m:t>
            </m:r>
          </m:e>
          <m:sub>
            <m:r>
              <m:rPr>
                <m:sty m:val="p"/>
              </m:rPr>
              <w:rPr>
                <w:rFonts w:ascii="Cambria Math" w:hAnsi="Cambria Math" w:cs="Times New Roman"/>
                <w:sz w:val="22"/>
                <w:szCs w:val="22"/>
              </w:rPr>
              <m:t>2</m:t>
            </m:r>
          </m:sub>
        </m:sSub>
        <m:sSub>
          <m:sSubPr>
            <m:ctrlPr>
              <w:rPr>
                <w:rFonts w:ascii="Cambria Math" w:hAnsi="Cambria Math" w:cs="Times New Roman"/>
                <w:iCs/>
                <w:sz w:val="22"/>
                <w:szCs w:val="22"/>
              </w:rPr>
            </m:ctrlPr>
          </m:sSubPr>
          <m:e>
            <m:r>
              <m:rPr>
                <m:sty m:val="p"/>
              </m:rPr>
              <w:rPr>
                <w:rFonts w:ascii="Cambria Math" w:hAnsi="Cambria Math" w:cs="Times New Roman"/>
                <w:sz w:val="22"/>
                <w:szCs w:val="22"/>
              </w:rPr>
              <m:t>AR</m:t>
            </m:r>
          </m:e>
          <m:sub>
            <m:r>
              <m:rPr>
                <m:sty m:val="p"/>
              </m:rPr>
              <w:rPr>
                <w:rFonts w:ascii="Cambria Math" w:hAnsi="Cambria Math" w:cs="Times New Roman"/>
                <w:sz w:val="22"/>
                <w:szCs w:val="22"/>
              </w:rPr>
              <m:t>t</m:t>
            </m:r>
          </m:sub>
        </m:sSub>
        <m:r>
          <m:rPr>
            <m:sty m:val="p"/>
          </m:rPr>
          <w:rPr>
            <w:rFonts w:ascii="Cambria Math" w:hAnsi="Cambria Math" w:cs="Times New Roman"/>
            <w:sz w:val="22"/>
            <w:szCs w:val="22"/>
          </w:rPr>
          <m:t>+</m:t>
        </m:r>
        <m:sSub>
          <m:sSubPr>
            <m:ctrlPr>
              <w:rPr>
                <w:rFonts w:ascii="Cambria Math" w:hAnsi="Cambria Math" w:cs="Times New Roman"/>
                <w:iCs/>
                <w:sz w:val="22"/>
                <w:szCs w:val="22"/>
              </w:rPr>
            </m:ctrlPr>
          </m:sSubPr>
          <m:e>
            <m:sSub>
              <m:sSubPr>
                <m:ctrlPr>
                  <w:rPr>
                    <w:rFonts w:ascii="Cambria Math" w:eastAsiaTheme="minorHAnsi" w:hAnsi="Cambria Math" w:cs="Times New Roman"/>
                    <w:color w:val="auto"/>
                    <w:sz w:val="22"/>
                    <w:szCs w:val="22"/>
                  </w:rPr>
                </m:ctrlPr>
              </m:sSubPr>
              <m:e>
                <m:r>
                  <m:rPr>
                    <m:sty m:val="p"/>
                  </m:rPr>
                  <w:rPr>
                    <w:rFonts w:ascii="Cambria Math" w:hAnsi="Cambria Math" w:cs="Times New Roman"/>
                    <w:sz w:val="22"/>
                    <w:szCs w:val="22"/>
                  </w:rPr>
                  <m:t>b</m:t>
                </m:r>
              </m:e>
              <m:sub>
                <m:r>
                  <m:rPr>
                    <m:sty m:val="p"/>
                  </m:rPr>
                  <w:rPr>
                    <w:rFonts w:ascii="Cambria Math" w:hAnsi="Cambria Math" w:cs="Times New Roman"/>
                    <w:sz w:val="22"/>
                    <w:szCs w:val="22"/>
                  </w:rPr>
                  <m:t>3</m:t>
                </m:r>
              </m:sub>
            </m:sSub>
            <m:r>
              <m:rPr>
                <m:sty m:val="p"/>
              </m:rPr>
              <w:rPr>
                <w:rFonts w:ascii="Cambria Math" w:hAnsi="Cambria Math" w:cs="Times New Roman"/>
                <w:sz w:val="22"/>
                <w:szCs w:val="22"/>
              </w:rPr>
              <m:t>LnIHH</m:t>
            </m:r>
          </m:e>
          <m:sub>
            <m:r>
              <m:rPr>
                <m:sty m:val="p"/>
              </m:rPr>
              <w:rPr>
                <w:rFonts w:ascii="Cambria Math" w:hAnsi="Cambria Math" w:cs="Times New Roman"/>
                <w:sz w:val="22"/>
                <w:szCs w:val="22"/>
              </w:rPr>
              <m:t>t</m:t>
            </m:r>
          </m:sub>
        </m:sSub>
      </m:oMath>
      <w:r w:rsidR="0006478A" w:rsidRPr="005D226A">
        <w:rPr>
          <w:rFonts w:ascii="Times New Roman" w:eastAsiaTheme="minorEastAsia" w:hAnsi="Times New Roman" w:cs="Times New Roman"/>
          <w:color w:val="0070C0"/>
          <w:sz w:val="24"/>
          <w:szCs w:val="24"/>
        </w:rPr>
        <w:t xml:space="preserve">+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it</m:t>
            </m:r>
          </m:sub>
        </m:sSub>
      </m:oMath>
    </w:p>
    <w:p w:rsidR="009F3F52" w:rsidRPr="005D226A" w:rsidRDefault="009F3F52" w:rsidP="003E0128">
      <w:pPr>
        <w:widowControl w:val="0"/>
        <w:autoSpaceDE w:val="0"/>
        <w:autoSpaceDN w:val="0"/>
        <w:adjustRightInd w:val="0"/>
        <w:spacing w:after="0" w:line="480" w:lineRule="auto"/>
        <w:jc w:val="both"/>
        <w:rPr>
          <w:rFonts w:ascii="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
        <w:gridCol w:w="7478"/>
      </w:tblGrid>
      <w:tr w:rsidR="009970F6" w:rsidRPr="005D226A" w:rsidTr="006C5565">
        <w:tc>
          <w:tcPr>
            <w:tcW w:w="1360" w:type="dxa"/>
          </w:tcPr>
          <w:p w:rsidR="009970F6" w:rsidRPr="008B591B" w:rsidRDefault="009970F6" w:rsidP="003E0128">
            <w:pPr>
              <w:widowControl w:val="0"/>
              <w:autoSpaceDE w:val="0"/>
              <w:autoSpaceDN w:val="0"/>
              <w:adjustRightInd w:val="0"/>
              <w:spacing w:line="480" w:lineRule="auto"/>
              <w:jc w:val="both"/>
              <w:rPr>
                <w:rFonts w:ascii="Times New Roman" w:hAnsi="Times New Roman" w:cs="Times New Roman"/>
                <w:sz w:val="20"/>
                <w:szCs w:val="20"/>
                <w:lang w:val="en-US"/>
              </w:rPr>
            </w:pPr>
            <m:oMathPara>
              <m:oMathParaPr>
                <m:jc m:val="left"/>
              </m:oMathParaPr>
              <m:oMath>
                <m:r>
                  <m:rPr>
                    <m:sty m:val="p"/>
                  </m:rPr>
                  <w:rPr>
                    <w:rFonts w:ascii="Cambria Math" w:hAnsi="Cambria Math" w:cs="Times New Roman"/>
                    <w:sz w:val="20"/>
                    <w:szCs w:val="20"/>
                  </w:rPr>
                  <m:t>Ln</m:t>
                </m:r>
                <m:sSub>
                  <m:sSubPr>
                    <m:ctrlPr>
                      <w:rPr>
                        <w:rFonts w:ascii="Cambria Math" w:hAnsi="Cambria Math" w:cs="Times New Roman"/>
                        <w:iCs/>
                        <w:sz w:val="20"/>
                        <w:szCs w:val="20"/>
                      </w:rPr>
                    </m:ctrlPr>
                  </m:sSubPr>
                  <m:e>
                    <m:r>
                      <m:rPr>
                        <m:sty m:val="p"/>
                      </m:rPr>
                      <w:rPr>
                        <w:rFonts w:ascii="Cambria Math" w:hAnsi="Cambria Math" w:cs="Times New Roman"/>
                        <w:sz w:val="20"/>
                        <w:szCs w:val="20"/>
                      </w:rPr>
                      <m:t>IpM</m:t>
                    </m:r>
                  </m:e>
                  <m:sub>
                    <m:r>
                      <m:rPr>
                        <m:sty m:val="p"/>
                      </m:rPr>
                      <w:rPr>
                        <w:rFonts w:ascii="Cambria Math" w:hAnsi="Cambria Math" w:cs="Times New Roman"/>
                        <w:sz w:val="20"/>
                        <w:szCs w:val="20"/>
                      </w:rPr>
                      <m:t>t</m:t>
                    </m:r>
                  </m:sub>
                </m:sSub>
              </m:oMath>
            </m:oMathPara>
          </w:p>
        </w:tc>
        <w:tc>
          <w:tcPr>
            <w:tcW w:w="7478" w:type="dxa"/>
          </w:tcPr>
          <w:p w:rsidR="009970F6" w:rsidRPr="008B591B" w:rsidRDefault="009970F6" w:rsidP="00B71AE9">
            <w:pPr>
              <w:widowControl w:val="0"/>
              <w:autoSpaceDE w:val="0"/>
              <w:autoSpaceDN w:val="0"/>
              <w:adjustRightInd w:val="0"/>
              <w:spacing w:after="120"/>
              <w:jc w:val="both"/>
              <w:rPr>
                <w:rFonts w:ascii="Times New Roman" w:hAnsi="Times New Roman" w:cs="Times New Roman"/>
                <w:sz w:val="20"/>
                <w:szCs w:val="20"/>
              </w:rPr>
            </w:pPr>
            <w:r w:rsidRPr="008B591B">
              <w:rPr>
                <w:rFonts w:ascii="Times New Roman" w:hAnsi="Times New Roman" w:cs="Times New Roman"/>
                <w:sz w:val="20"/>
                <w:szCs w:val="20"/>
              </w:rPr>
              <w:t xml:space="preserve">logaritmo natural del </w:t>
            </w:r>
            <w:proofErr w:type="spellStart"/>
            <w:r w:rsidRPr="008B591B">
              <w:rPr>
                <w:rFonts w:ascii="Times New Roman" w:hAnsi="Times New Roman" w:cs="Times New Roman"/>
                <w:sz w:val="20"/>
                <w:szCs w:val="20"/>
              </w:rPr>
              <w:t>IpM</w:t>
            </w:r>
            <w:proofErr w:type="spellEnd"/>
            <w:r w:rsidRPr="008B591B">
              <w:rPr>
                <w:rFonts w:ascii="Times New Roman" w:hAnsi="Times New Roman" w:cs="Times New Roman"/>
                <w:sz w:val="20"/>
                <w:szCs w:val="20"/>
              </w:rPr>
              <w:t xml:space="preserve">, que es el ingreso </w:t>
            </w:r>
            <w:r w:rsidR="00741A19" w:rsidRPr="008B591B">
              <w:rPr>
                <w:rFonts w:ascii="Times New Roman" w:hAnsi="Times New Roman" w:cs="Times New Roman"/>
                <w:sz w:val="20"/>
                <w:szCs w:val="20"/>
              </w:rPr>
              <w:t xml:space="preserve">de voz </w:t>
            </w:r>
            <w:r w:rsidRPr="008B591B">
              <w:rPr>
                <w:rFonts w:ascii="Times New Roman" w:hAnsi="Times New Roman" w:cs="Times New Roman"/>
                <w:sz w:val="20"/>
                <w:szCs w:val="20"/>
              </w:rPr>
              <w:t xml:space="preserve">por minuto de </w:t>
            </w:r>
            <w:r w:rsidR="000B6877" w:rsidRPr="008B591B">
              <w:rPr>
                <w:rFonts w:ascii="Times New Roman" w:hAnsi="Times New Roman" w:cs="Times New Roman"/>
                <w:sz w:val="20"/>
                <w:szCs w:val="20"/>
              </w:rPr>
              <w:t xml:space="preserve">todos </w:t>
            </w:r>
            <w:r w:rsidRPr="008B591B">
              <w:rPr>
                <w:rFonts w:ascii="Times New Roman" w:hAnsi="Times New Roman" w:cs="Times New Roman"/>
                <w:sz w:val="20"/>
                <w:szCs w:val="20"/>
              </w:rPr>
              <w:t>los operadores móviles en t</w:t>
            </w:r>
          </w:p>
        </w:tc>
      </w:tr>
      <w:tr w:rsidR="009970F6" w:rsidRPr="005D226A" w:rsidTr="006C5565">
        <w:tc>
          <w:tcPr>
            <w:tcW w:w="1360" w:type="dxa"/>
          </w:tcPr>
          <w:p w:rsidR="009970F6" w:rsidRPr="008B591B" w:rsidRDefault="0026031C" w:rsidP="003E0128">
            <w:pPr>
              <w:widowControl w:val="0"/>
              <w:autoSpaceDE w:val="0"/>
              <w:autoSpaceDN w:val="0"/>
              <w:adjustRightInd w:val="0"/>
              <w:spacing w:line="480" w:lineRule="auto"/>
              <w:jc w:val="both"/>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m:rPr>
                        <m:sty m:val="p"/>
                      </m:rPr>
                      <w:rPr>
                        <w:rFonts w:ascii="Cambria Math" w:hAnsi="Cambria Math" w:cs="Times New Roman"/>
                        <w:sz w:val="20"/>
                        <w:szCs w:val="20"/>
                      </w:rPr>
                      <m:t>a</m:t>
                    </m:r>
                  </m:e>
                  <m:sub>
                    <m:r>
                      <m:rPr>
                        <m:sty m:val="p"/>
                      </m:rPr>
                      <w:rPr>
                        <w:rFonts w:ascii="Cambria Math" w:hAnsi="Cambria Math" w:cs="Times New Roman"/>
                        <w:sz w:val="20"/>
                        <w:szCs w:val="20"/>
                      </w:rPr>
                      <m:t>1</m:t>
                    </m:r>
                  </m:sub>
                </m:sSub>
              </m:oMath>
            </m:oMathPara>
          </w:p>
        </w:tc>
        <w:tc>
          <w:tcPr>
            <w:tcW w:w="7478" w:type="dxa"/>
          </w:tcPr>
          <w:p w:rsidR="009970F6" w:rsidRPr="008B591B" w:rsidRDefault="009970F6" w:rsidP="00B71AE9">
            <w:pPr>
              <w:widowControl w:val="0"/>
              <w:autoSpaceDE w:val="0"/>
              <w:autoSpaceDN w:val="0"/>
              <w:adjustRightInd w:val="0"/>
              <w:spacing w:after="120"/>
              <w:jc w:val="both"/>
              <w:rPr>
                <w:rFonts w:ascii="Times New Roman" w:hAnsi="Times New Roman" w:cs="Times New Roman"/>
                <w:sz w:val="20"/>
                <w:szCs w:val="20"/>
              </w:rPr>
            </w:pPr>
            <w:r w:rsidRPr="008B591B">
              <w:rPr>
                <w:rFonts w:ascii="Times New Roman" w:hAnsi="Times New Roman" w:cs="Times New Roman"/>
                <w:sz w:val="20"/>
                <w:szCs w:val="20"/>
              </w:rPr>
              <w:t>constante</w:t>
            </w:r>
          </w:p>
        </w:tc>
      </w:tr>
      <w:tr w:rsidR="000B6877" w:rsidRPr="005D226A" w:rsidTr="006C5565">
        <w:tc>
          <w:tcPr>
            <w:tcW w:w="1360" w:type="dxa"/>
          </w:tcPr>
          <w:p w:rsidR="000B6877" w:rsidRPr="008B591B" w:rsidRDefault="0026031C" w:rsidP="003E0128">
            <w:pPr>
              <w:widowControl w:val="0"/>
              <w:autoSpaceDE w:val="0"/>
              <w:autoSpaceDN w:val="0"/>
              <w:adjustRightInd w:val="0"/>
              <w:spacing w:line="480" w:lineRule="auto"/>
              <w:jc w:val="both"/>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m:rPr>
                        <m:sty m:val="p"/>
                      </m:rPr>
                      <w:rPr>
                        <w:rFonts w:ascii="Cambria Math" w:hAnsi="Cambria Math" w:cs="Times New Roman"/>
                        <w:sz w:val="20"/>
                        <w:szCs w:val="20"/>
                      </w:rPr>
                      <m:t>b</m:t>
                    </m:r>
                  </m:e>
                  <m:sub>
                    <m:r>
                      <m:rPr>
                        <m:sty m:val="p"/>
                      </m:rPr>
                      <w:rPr>
                        <w:rFonts w:ascii="Cambria Math" w:hAnsi="Cambria Math" w:cs="Times New Roman"/>
                        <w:sz w:val="20"/>
                        <w:szCs w:val="20"/>
                      </w:rPr>
                      <m:t>1</m:t>
                    </m:r>
                  </m:sub>
                </m:sSub>
              </m:oMath>
            </m:oMathPara>
          </w:p>
        </w:tc>
        <w:tc>
          <w:tcPr>
            <w:tcW w:w="7478" w:type="dxa"/>
          </w:tcPr>
          <w:p w:rsidR="000B6877" w:rsidRPr="008B591B" w:rsidRDefault="00312CE1" w:rsidP="00B71AE9">
            <w:pPr>
              <w:widowControl w:val="0"/>
              <w:autoSpaceDE w:val="0"/>
              <w:autoSpaceDN w:val="0"/>
              <w:adjustRightInd w:val="0"/>
              <w:spacing w:after="120"/>
              <w:jc w:val="both"/>
              <w:rPr>
                <w:rFonts w:ascii="Times New Roman" w:hAnsi="Times New Roman" w:cs="Times New Roman"/>
                <w:sz w:val="20"/>
                <w:szCs w:val="20"/>
              </w:rPr>
            </w:pPr>
            <w:r w:rsidRPr="008B591B">
              <w:rPr>
                <w:rFonts w:ascii="Times New Roman" w:hAnsi="Times New Roman" w:cs="Times New Roman"/>
                <w:sz w:val="20"/>
                <w:szCs w:val="20"/>
              </w:rPr>
              <w:t xml:space="preserve">Elasticidad de  respuesta del </w:t>
            </w:r>
            <w:proofErr w:type="spellStart"/>
            <w:r w:rsidR="006C5565" w:rsidRPr="008B591B">
              <w:rPr>
                <w:rFonts w:ascii="Times New Roman" w:hAnsi="Times New Roman" w:cs="Times New Roman"/>
                <w:sz w:val="20"/>
                <w:szCs w:val="20"/>
              </w:rPr>
              <w:t>IpM</w:t>
            </w:r>
            <w:proofErr w:type="spellEnd"/>
            <w:r w:rsidR="006C5565" w:rsidRPr="008B591B">
              <w:rPr>
                <w:rFonts w:ascii="Times New Roman" w:hAnsi="Times New Roman" w:cs="Times New Roman"/>
                <w:sz w:val="20"/>
                <w:szCs w:val="20"/>
              </w:rPr>
              <w:t xml:space="preserve">  cuando </w:t>
            </w:r>
            <w:r w:rsidR="00316609">
              <w:rPr>
                <w:rFonts w:ascii="Times New Roman" w:hAnsi="Times New Roman" w:cs="Times New Roman"/>
                <w:sz w:val="20"/>
                <w:szCs w:val="20"/>
              </w:rPr>
              <w:t>cambia la</w:t>
            </w:r>
            <w:r w:rsidR="000B6877" w:rsidRPr="008B591B">
              <w:rPr>
                <w:rFonts w:ascii="Times New Roman" w:hAnsi="Times New Roman" w:cs="Times New Roman"/>
                <w:sz w:val="20"/>
                <w:szCs w:val="20"/>
              </w:rPr>
              <w:t xml:space="preserve"> </w:t>
            </w:r>
            <w:r w:rsidR="00F02AB7" w:rsidRPr="008B591B">
              <w:rPr>
                <w:rFonts w:ascii="Times New Roman" w:hAnsi="Times New Roman" w:cs="Times New Roman"/>
                <w:sz w:val="20"/>
                <w:szCs w:val="20"/>
              </w:rPr>
              <w:t>TTM</w:t>
            </w:r>
            <w:r w:rsidR="00316609">
              <w:rPr>
                <w:rFonts w:ascii="Times New Roman" w:hAnsi="Times New Roman" w:cs="Times New Roman"/>
                <w:sz w:val="20"/>
                <w:szCs w:val="20"/>
              </w:rPr>
              <w:t xml:space="preserve"> </w:t>
            </w:r>
            <w:r w:rsidR="00F02AB7" w:rsidRPr="008B591B">
              <w:rPr>
                <w:rFonts w:ascii="Times New Roman" w:hAnsi="Times New Roman" w:cs="Times New Roman"/>
                <w:sz w:val="20"/>
                <w:szCs w:val="20"/>
              </w:rPr>
              <w:t>prom</w:t>
            </w:r>
            <w:r w:rsidR="00316609">
              <w:rPr>
                <w:rFonts w:ascii="Times New Roman" w:hAnsi="Times New Roman" w:cs="Times New Roman"/>
                <w:sz w:val="20"/>
                <w:szCs w:val="20"/>
              </w:rPr>
              <w:t>edio (</w:t>
            </w:r>
            <w:proofErr w:type="spellStart"/>
            <w:r w:rsidR="00316609">
              <w:rPr>
                <w:rFonts w:ascii="Times New Roman" w:hAnsi="Times New Roman" w:cs="Times New Roman"/>
                <w:sz w:val="20"/>
                <w:szCs w:val="20"/>
              </w:rPr>
              <w:t>TTMprom</w:t>
            </w:r>
            <w:proofErr w:type="spellEnd"/>
            <w:r w:rsidR="00316609">
              <w:rPr>
                <w:rFonts w:ascii="Times New Roman" w:hAnsi="Times New Roman" w:cs="Times New Roman"/>
                <w:sz w:val="20"/>
                <w:szCs w:val="20"/>
              </w:rPr>
              <w:t>)</w:t>
            </w:r>
          </w:p>
        </w:tc>
      </w:tr>
      <w:tr w:rsidR="000B6877" w:rsidRPr="005D226A" w:rsidTr="006C5565">
        <w:tc>
          <w:tcPr>
            <w:tcW w:w="1360" w:type="dxa"/>
          </w:tcPr>
          <w:p w:rsidR="000B6877" w:rsidRPr="008B591B" w:rsidRDefault="0026031C" w:rsidP="003E0128">
            <w:pPr>
              <w:widowControl w:val="0"/>
              <w:autoSpaceDE w:val="0"/>
              <w:autoSpaceDN w:val="0"/>
              <w:adjustRightInd w:val="0"/>
              <w:spacing w:line="480" w:lineRule="auto"/>
              <w:jc w:val="both"/>
              <w:rPr>
                <w:rFonts w:ascii="Times New Roman" w:hAnsi="Times New Roman" w:cs="Times New Roman"/>
                <w:sz w:val="20"/>
                <w:szCs w:val="20"/>
              </w:rPr>
            </w:pPr>
            <m:oMathPara>
              <m:oMathParaPr>
                <m:jc m:val="left"/>
              </m:oMathParaPr>
              <m:oMath>
                <m:sSub>
                  <m:sSubPr>
                    <m:ctrlPr>
                      <w:rPr>
                        <w:rFonts w:ascii="Cambria Math" w:hAnsi="Cambria Math" w:cs="Times New Roman"/>
                        <w:sz w:val="20"/>
                        <w:szCs w:val="20"/>
                      </w:rPr>
                    </m:ctrlPr>
                  </m:sSubPr>
                  <m:e>
                    <m:r>
                      <m:rPr>
                        <m:sty m:val="p"/>
                      </m:rPr>
                      <w:rPr>
                        <w:rFonts w:ascii="Cambria Math" w:hAnsi="Cambria Math" w:cs="Times New Roman"/>
                        <w:sz w:val="20"/>
                        <w:szCs w:val="20"/>
                      </w:rPr>
                      <m:t>b</m:t>
                    </m:r>
                  </m:e>
                  <m:sub>
                    <m:r>
                      <m:rPr>
                        <m:sty m:val="p"/>
                      </m:rPr>
                      <w:rPr>
                        <w:rFonts w:ascii="Cambria Math" w:hAnsi="Cambria Math" w:cs="Times New Roman"/>
                        <w:sz w:val="20"/>
                        <w:szCs w:val="20"/>
                      </w:rPr>
                      <m:t>2</m:t>
                    </m:r>
                  </m:sub>
                </m:sSub>
              </m:oMath>
            </m:oMathPara>
          </w:p>
        </w:tc>
        <w:tc>
          <w:tcPr>
            <w:tcW w:w="7478" w:type="dxa"/>
          </w:tcPr>
          <w:p w:rsidR="000B6877" w:rsidRPr="008B591B" w:rsidRDefault="00971251" w:rsidP="00B71AE9">
            <w:pPr>
              <w:widowControl w:val="0"/>
              <w:autoSpaceDE w:val="0"/>
              <w:autoSpaceDN w:val="0"/>
              <w:adjustRightInd w:val="0"/>
              <w:spacing w:after="120"/>
              <w:jc w:val="both"/>
              <w:rPr>
                <w:rFonts w:ascii="Times New Roman" w:hAnsi="Times New Roman" w:cs="Times New Roman"/>
                <w:sz w:val="20"/>
                <w:szCs w:val="20"/>
              </w:rPr>
            </w:pPr>
            <w:r w:rsidRPr="008B591B">
              <w:rPr>
                <w:rFonts w:ascii="Times New Roman" w:hAnsi="Times New Roman" w:cs="Times New Roman"/>
                <w:sz w:val="20"/>
                <w:szCs w:val="20"/>
              </w:rPr>
              <w:t>R</w:t>
            </w:r>
            <w:r w:rsidR="00F02AB7" w:rsidRPr="008B591B">
              <w:rPr>
                <w:rFonts w:ascii="Times New Roman" w:hAnsi="Times New Roman" w:cs="Times New Roman"/>
                <w:sz w:val="20"/>
                <w:szCs w:val="20"/>
              </w:rPr>
              <w:t>espuesta</w:t>
            </w:r>
            <w:r w:rsidR="000B6877" w:rsidRPr="008B591B">
              <w:rPr>
                <w:rFonts w:ascii="Times New Roman" w:hAnsi="Times New Roman" w:cs="Times New Roman"/>
                <w:sz w:val="20"/>
                <w:szCs w:val="20"/>
              </w:rPr>
              <w:t xml:space="preserve"> </w:t>
            </w:r>
            <w:r w:rsidR="00F02AB7" w:rsidRPr="008B591B">
              <w:rPr>
                <w:rFonts w:ascii="Times New Roman" w:hAnsi="Times New Roman" w:cs="Times New Roman"/>
                <w:sz w:val="20"/>
                <w:szCs w:val="20"/>
              </w:rPr>
              <w:t>d</w:t>
            </w:r>
            <w:r w:rsidR="006D0BDC" w:rsidRPr="008B591B">
              <w:rPr>
                <w:rFonts w:ascii="Times New Roman" w:hAnsi="Times New Roman" w:cs="Times New Roman"/>
                <w:sz w:val="20"/>
                <w:szCs w:val="20"/>
              </w:rPr>
              <w:t>e</w:t>
            </w:r>
            <w:r w:rsidR="000B6877" w:rsidRPr="008B591B">
              <w:rPr>
                <w:rFonts w:ascii="Times New Roman" w:hAnsi="Times New Roman" w:cs="Times New Roman"/>
                <w:sz w:val="20"/>
                <w:szCs w:val="20"/>
              </w:rPr>
              <w:t xml:space="preserve">l </w:t>
            </w:r>
            <w:proofErr w:type="spellStart"/>
            <w:r w:rsidR="006D0BDC" w:rsidRPr="008B591B">
              <w:rPr>
                <w:rFonts w:ascii="Times New Roman" w:hAnsi="Times New Roman" w:cs="Times New Roman"/>
                <w:sz w:val="20"/>
                <w:szCs w:val="20"/>
              </w:rPr>
              <w:t>l</w:t>
            </w:r>
            <w:r w:rsidR="006C5565" w:rsidRPr="008B591B">
              <w:rPr>
                <w:rFonts w:ascii="Times New Roman" w:hAnsi="Times New Roman" w:cs="Times New Roman"/>
                <w:sz w:val="20"/>
                <w:szCs w:val="20"/>
              </w:rPr>
              <w:t>n</w:t>
            </w:r>
            <w:r w:rsidR="000B6877" w:rsidRPr="008B591B">
              <w:rPr>
                <w:rFonts w:ascii="Times New Roman" w:hAnsi="Times New Roman" w:cs="Times New Roman"/>
                <w:sz w:val="20"/>
                <w:szCs w:val="20"/>
              </w:rPr>
              <w:t>Ip</w:t>
            </w:r>
            <w:r w:rsidR="00F02AB7" w:rsidRPr="008B591B">
              <w:rPr>
                <w:rFonts w:ascii="Times New Roman" w:hAnsi="Times New Roman" w:cs="Times New Roman"/>
                <w:sz w:val="20"/>
                <w:szCs w:val="20"/>
              </w:rPr>
              <w:t>M</w:t>
            </w:r>
            <w:proofErr w:type="spellEnd"/>
            <w:r w:rsidR="00F02AB7" w:rsidRPr="008B591B">
              <w:rPr>
                <w:rFonts w:ascii="Times New Roman" w:hAnsi="Times New Roman" w:cs="Times New Roman"/>
                <w:sz w:val="20"/>
                <w:szCs w:val="20"/>
              </w:rPr>
              <w:t xml:space="preserve"> ante el régimen asimétrico</w:t>
            </w:r>
            <w:r w:rsidR="000B6877" w:rsidRPr="008B591B">
              <w:rPr>
                <w:rFonts w:ascii="Times New Roman" w:hAnsi="Times New Roman" w:cs="Times New Roman"/>
                <w:sz w:val="20"/>
                <w:szCs w:val="20"/>
              </w:rPr>
              <w:t xml:space="preserve"> </w:t>
            </w:r>
          </w:p>
        </w:tc>
      </w:tr>
      <w:tr w:rsidR="000B6877" w:rsidRPr="005D226A" w:rsidTr="006C5565">
        <w:tc>
          <w:tcPr>
            <w:tcW w:w="1360" w:type="dxa"/>
          </w:tcPr>
          <w:p w:rsidR="000B6877" w:rsidRPr="008B591B" w:rsidRDefault="000B6877" w:rsidP="003E0128">
            <w:pPr>
              <w:widowControl w:val="0"/>
              <w:autoSpaceDE w:val="0"/>
              <w:autoSpaceDN w:val="0"/>
              <w:adjustRightInd w:val="0"/>
              <w:spacing w:line="480" w:lineRule="auto"/>
              <w:jc w:val="both"/>
              <w:rPr>
                <w:rFonts w:ascii="Times New Roman" w:eastAsia="Calibri" w:hAnsi="Times New Roman" w:cs="Times New Roman"/>
                <w:sz w:val="20"/>
                <w:szCs w:val="20"/>
              </w:rPr>
            </w:pPr>
            <w:r w:rsidRPr="008B591B">
              <w:rPr>
                <w:rFonts w:ascii="Times New Roman" w:eastAsia="Calibri" w:hAnsi="Times New Roman" w:cs="Times New Roman"/>
                <w:sz w:val="20"/>
                <w:szCs w:val="20"/>
              </w:rPr>
              <w:t>b3</w:t>
            </w:r>
          </w:p>
        </w:tc>
        <w:tc>
          <w:tcPr>
            <w:tcW w:w="7478" w:type="dxa"/>
          </w:tcPr>
          <w:p w:rsidR="000B6877" w:rsidRPr="008B591B" w:rsidRDefault="00F02AB7" w:rsidP="00B71AE9">
            <w:pPr>
              <w:widowControl w:val="0"/>
              <w:autoSpaceDE w:val="0"/>
              <w:autoSpaceDN w:val="0"/>
              <w:adjustRightInd w:val="0"/>
              <w:spacing w:after="120"/>
              <w:jc w:val="both"/>
              <w:rPr>
                <w:rFonts w:ascii="Times New Roman" w:hAnsi="Times New Roman" w:cs="Times New Roman"/>
                <w:sz w:val="20"/>
                <w:szCs w:val="20"/>
              </w:rPr>
            </w:pPr>
            <w:r w:rsidRPr="008B591B">
              <w:rPr>
                <w:rFonts w:ascii="Times New Roman" w:hAnsi="Times New Roman" w:cs="Times New Roman"/>
                <w:sz w:val="20"/>
                <w:szCs w:val="20"/>
              </w:rPr>
              <w:t>Elast</w:t>
            </w:r>
            <w:r w:rsidR="00571490">
              <w:rPr>
                <w:rFonts w:ascii="Times New Roman" w:hAnsi="Times New Roman" w:cs="Times New Roman"/>
                <w:sz w:val="20"/>
                <w:szCs w:val="20"/>
              </w:rPr>
              <w:t>ici</w:t>
            </w:r>
            <w:r w:rsidRPr="008B591B">
              <w:rPr>
                <w:rFonts w:ascii="Times New Roman" w:hAnsi="Times New Roman" w:cs="Times New Roman"/>
                <w:sz w:val="20"/>
                <w:szCs w:val="20"/>
              </w:rPr>
              <w:t xml:space="preserve">dad del </w:t>
            </w:r>
            <w:proofErr w:type="spellStart"/>
            <w:r w:rsidR="000B6877" w:rsidRPr="008B591B">
              <w:rPr>
                <w:rFonts w:ascii="Times New Roman" w:hAnsi="Times New Roman" w:cs="Times New Roman"/>
                <w:sz w:val="20"/>
                <w:szCs w:val="20"/>
              </w:rPr>
              <w:t>IpM</w:t>
            </w:r>
            <w:proofErr w:type="spellEnd"/>
            <w:r w:rsidR="000B6877" w:rsidRPr="008B591B">
              <w:rPr>
                <w:rFonts w:ascii="Times New Roman" w:hAnsi="Times New Roman" w:cs="Times New Roman"/>
                <w:sz w:val="20"/>
                <w:szCs w:val="20"/>
              </w:rPr>
              <w:t xml:space="preserve"> cu</w:t>
            </w:r>
            <w:r w:rsidR="006D0BDC" w:rsidRPr="008B591B">
              <w:rPr>
                <w:rFonts w:ascii="Times New Roman" w:hAnsi="Times New Roman" w:cs="Times New Roman"/>
                <w:sz w:val="20"/>
                <w:szCs w:val="20"/>
              </w:rPr>
              <w:t>ando cambia</w:t>
            </w:r>
            <w:r w:rsidR="000B6877" w:rsidRPr="008B591B">
              <w:rPr>
                <w:rFonts w:ascii="Times New Roman" w:hAnsi="Times New Roman" w:cs="Times New Roman"/>
                <w:sz w:val="20"/>
                <w:szCs w:val="20"/>
              </w:rPr>
              <w:t xml:space="preserve"> el IHH</w:t>
            </w:r>
          </w:p>
        </w:tc>
      </w:tr>
      <w:tr w:rsidR="000B6877" w:rsidRPr="005D226A" w:rsidTr="006C5565">
        <w:tc>
          <w:tcPr>
            <w:tcW w:w="1360" w:type="dxa"/>
          </w:tcPr>
          <w:p w:rsidR="000B6877" w:rsidRPr="008B591B" w:rsidRDefault="00312CE1" w:rsidP="003E0128">
            <w:pPr>
              <w:widowControl w:val="0"/>
              <w:autoSpaceDE w:val="0"/>
              <w:autoSpaceDN w:val="0"/>
              <w:adjustRightInd w:val="0"/>
              <w:spacing w:line="480" w:lineRule="auto"/>
              <w:jc w:val="both"/>
              <w:rPr>
                <w:rFonts w:ascii="Times New Roman" w:eastAsia="Calibri" w:hAnsi="Times New Roman" w:cs="Times New Roman"/>
                <w:sz w:val="20"/>
                <w:szCs w:val="20"/>
              </w:rPr>
            </w:pPr>
            <m:oMathPara>
              <m:oMathParaPr>
                <m:jc m:val="left"/>
              </m:oMathParaPr>
              <m:oMath>
                <m:r>
                  <m:rPr>
                    <m:sty m:val="p"/>
                  </m:rPr>
                  <w:rPr>
                    <w:rFonts w:ascii="Cambria Math" w:hAnsi="Cambria Math" w:cs="Times New Roman"/>
                    <w:sz w:val="20"/>
                    <w:szCs w:val="20"/>
                  </w:rPr>
                  <m:t>lnTTMprom</m:t>
                </m:r>
              </m:oMath>
            </m:oMathPara>
          </w:p>
        </w:tc>
        <w:tc>
          <w:tcPr>
            <w:tcW w:w="7478" w:type="dxa"/>
          </w:tcPr>
          <w:p w:rsidR="00FF54A1" w:rsidRPr="00571490" w:rsidRDefault="00741A19" w:rsidP="00915B7F">
            <w:pPr>
              <w:widowControl w:val="0"/>
              <w:autoSpaceDE w:val="0"/>
              <w:autoSpaceDN w:val="0"/>
              <w:adjustRightInd w:val="0"/>
              <w:spacing w:after="120"/>
              <w:jc w:val="both"/>
              <w:rPr>
                <w:rFonts w:ascii="Times New Roman" w:hAnsi="Times New Roman" w:cs="Times New Roman"/>
                <w:sz w:val="20"/>
                <w:szCs w:val="20"/>
              </w:rPr>
            </w:pPr>
            <w:proofErr w:type="gramStart"/>
            <w:r w:rsidRPr="008B591B">
              <w:rPr>
                <w:rFonts w:ascii="Times New Roman" w:hAnsi="Times New Roman" w:cs="Times New Roman"/>
                <w:sz w:val="20"/>
                <w:szCs w:val="20"/>
              </w:rPr>
              <w:t>es</w:t>
            </w:r>
            <w:proofErr w:type="gramEnd"/>
            <w:r w:rsidRPr="008B591B">
              <w:rPr>
                <w:rFonts w:ascii="Times New Roman" w:hAnsi="Times New Roman" w:cs="Times New Roman"/>
                <w:sz w:val="20"/>
                <w:szCs w:val="20"/>
              </w:rPr>
              <w:t xml:space="preserve"> </w:t>
            </w:r>
            <w:r w:rsidR="00312CE1" w:rsidRPr="008B591B">
              <w:rPr>
                <w:rFonts w:ascii="Times New Roman" w:hAnsi="Times New Roman" w:cs="Times New Roman"/>
                <w:sz w:val="20"/>
                <w:szCs w:val="20"/>
              </w:rPr>
              <w:t xml:space="preserve">el logaritmo natural de </w:t>
            </w:r>
            <w:r w:rsidR="000B6877" w:rsidRPr="008B591B">
              <w:rPr>
                <w:rFonts w:ascii="Times New Roman" w:hAnsi="Times New Roman" w:cs="Times New Roman"/>
                <w:sz w:val="20"/>
                <w:szCs w:val="20"/>
              </w:rPr>
              <w:t>la TTM</w:t>
            </w:r>
            <w:r w:rsidR="00F02AB7" w:rsidRPr="008B591B">
              <w:rPr>
                <w:rFonts w:ascii="Times New Roman" w:hAnsi="Times New Roman" w:cs="Times New Roman"/>
                <w:sz w:val="20"/>
                <w:szCs w:val="20"/>
              </w:rPr>
              <w:t xml:space="preserve"> promedio ponderado.</w:t>
            </w:r>
            <w:r w:rsidR="00971251" w:rsidRPr="008B591B">
              <w:rPr>
                <w:rFonts w:ascii="Times New Roman" w:hAnsi="Times New Roman" w:cs="Times New Roman"/>
                <w:sz w:val="20"/>
                <w:szCs w:val="20"/>
              </w:rPr>
              <w:t xml:space="preserve"> Para estimar el promedio ponderado </w:t>
            </w:r>
            <w:r w:rsidR="00F02AB7" w:rsidRPr="008B591B">
              <w:rPr>
                <w:rFonts w:ascii="Times New Roman" w:hAnsi="Times New Roman" w:cs="Times New Roman"/>
                <w:sz w:val="20"/>
                <w:szCs w:val="20"/>
              </w:rPr>
              <w:t xml:space="preserve">se utilizaron las participaciones de mercado del </w:t>
            </w:r>
            <w:r w:rsidR="000C0221" w:rsidRPr="008B591B">
              <w:rPr>
                <w:rFonts w:ascii="Times New Roman" w:hAnsi="Times New Roman" w:cs="Times New Roman"/>
                <w:sz w:val="20"/>
                <w:szCs w:val="20"/>
              </w:rPr>
              <w:t>preponderante</w:t>
            </w:r>
            <w:r w:rsidR="00F02AB7" w:rsidRPr="008B591B">
              <w:rPr>
                <w:rFonts w:ascii="Times New Roman" w:hAnsi="Times New Roman" w:cs="Times New Roman"/>
                <w:sz w:val="20"/>
                <w:szCs w:val="20"/>
              </w:rPr>
              <w:t xml:space="preserve"> y del grupo de entrantes. </w:t>
            </w:r>
          </w:p>
        </w:tc>
      </w:tr>
      <w:tr w:rsidR="000B6877" w:rsidRPr="008B591B" w:rsidTr="006C5565">
        <w:tc>
          <w:tcPr>
            <w:tcW w:w="1360" w:type="dxa"/>
          </w:tcPr>
          <w:p w:rsidR="000B6877" w:rsidRPr="008B591B" w:rsidRDefault="0026031C" w:rsidP="00FF54A1">
            <w:pPr>
              <w:widowControl w:val="0"/>
              <w:autoSpaceDE w:val="0"/>
              <w:autoSpaceDN w:val="0"/>
              <w:adjustRightInd w:val="0"/>
              <w:spacing w:line="480" w:lineRule="auto"/>
              <w:jc w:val="both"/>
              <w:rPr>
                <w:rFonts w:ascii="Times New Roman" w:hAnsi="Times New Roman" w:cs="Times New Roman"/>
                <w:sz w:val="20"/>
                <w:szCs w:val="20"/>
              </w:rPr>
            </w:pPr>
            <m:oMathPara>
              <m:oMathParaPr>
                <m:jc m:val="left"/>
              </m:oMathParaPr>
              <m:oMath>
                <m:sSubSup>
                  <m:sSubSupPr>
                    <m:ctrlPr>
                      <w:rPr>
                        <w:rFonts w:ascii="Cambria Math" w:eastAsiaTheme="minorEastAsia" w:hAnsi="Cambria Math" w:cs="Times New Roman"/>
                        <w:b/>
                        <w:sz w:val="20"/>
                        <w:szCs w:val="20"/>
                      </w:rPr>
                    </m:ctrlPr>
                  </m:sSubSupPr>
                  <m:e>
                    <m:r>
                      <m:rPr>
                        <m:sty m:val="b"/>
                      </m:rPr>
                      <w:rPr>
                        <w:rFonts w:ascii="Cambria Math" w:eastAsiaTheme="minorEastAsia" w:hAnsi="Cambria Math" w:cs="Times New Roman"/>
                        <w:sz w:val="20"/>
                        <w:szCs w:val="20"/>
                      </w:rPr>
                      <m:t>AR</m:t>
                    </m:r>
                  </m:e>
                  <m:sub>
                    <m:r>
                      <m:rPr>
                        <m:sty m:val="b"/>
                      </m:rPr>
                      <w:rPr>
                        <w:rFonts w:ascii="Cambria Math" w:eastAsiaTheme="minorEastAsia" w:hAnsi="Cambria Math" w:cs="Times New Roman"/>
                        <w:sz w:val="20"/>
                        <w:szCs w:val="20"/>
                      </w:rPr>
                      <m:t>t</m:t>
                    </m:r>
                  </m:sub>
                  <m:sup>
                    <m:r>
                      <m:rPr>
                        <m:sty m:val="b"/>
                      </m:rPr>
                      <w:rPr>
                        <w:rFonts w:ascii="Cambria Math" w:eastAsiaTheme="minorEastAsia" w:hAnsi="Cambria Math" w:cs="Times New Roman"/>
                        <w:sz w:val="20"/>
                        <w:szCs w:val="20"/>
                      </w:rPr>
                      <m:t>I</m:t>
                    </m:r>
                  </m:sup>
                </m:sSubSup>
              </m:oMath>
            </m:oMathPara>
          </w:p>
        </w:tc>
        <w:tc>
          <w:tcPr>
            <w:tcW w:w="7478" w:type="dxa"/>
          </w:tcPr>
          <w:p w:rsidR="00AF4401" w:rsidRDefault="00FF54A1" w:rsidP="00AF4401">
            <w:pPr>
              <w:widowControl w:val="0"/>
              <w:autoSpaceDE w:val="0"/>
              <w:autoSpaceDN w:val="0"/>
              <w:adjustRightInd w:val="0"/>
              <w:spacing w:after="120"/>
              <w:jc w:val="both"/>
              <w:rPr>
                <w:rFonts w:ascii="Times New Roman" w:eastAsiaTheme="minorEastAsia" w:hAnsi="Times New Roman" w:cs="Times New Roman"/>
                <w:b/>
                <w:bCs/>
                <w:iCs/>
                <w:sz w:val="20"/>
                <w:szCs w:val="20"/>
              </w:rPr>
            </w:pPr>
            <m:oMath>
              <m:r>
                <m:rPr>
                  <m:sty m:val="b"/>
                </m:rPr>
                <w:rPr>
                  <w:rFonts w:ascii="Cambria Math" w:eastAsiaTheme="minorEastAsia" w:hAnsi="Cambria Math" w:cs="Times New Roman"/>
                  <w:sz w:val="20"/>
                  <w:szCs w:val="20"/>
                </w:rPr>
                <m:t>=</m:t>
              </m:r>
              <m:nary>
                <m:naryPr>
                  <m:chr m:val="∑"/>
                  <m:limLoc m:val="undOvr"/>
                  <m:supHide m:val="1"/>
                  <m:ctrlPr>
                    <w:rPr>
                      <w:rFonts w:ascii="Cambria Math" w:eastAsiaTheme="minorEastAsia" w:hAnsi="Cambria Math" w:cs="Times New Roman"/>
                      <w:b/>
                      <w:sz w:val="20"/>
                      <w:szCs w:val="20"/>
                    </w:rPr>
                  </m:ctrlPr>
                </m:naryPr>
                <m:sub>
                  <m:r>
                    <m:rPr>
                      <m:sty m:val="b"/>
                    </m:rPr>
                    <w:rPr>
                      <w:rFonts w:ascii="Cambria Math" w:eastAsiaTheme="minorEastAsia" w:hAnsi="Cambria Math" w:cs="Times New Roman"/>
                      <w:sz w:val="20"/>
                      <w:szCs w:val="20"/>
                    </w:rPr>
                    <m:t>i</m:t>
                  </m:r>
                </m:sub>
                <m:sup/>
                <m:e>
                  <m:r>
                    <m:rPr>
                      <m:sty m:val="b"/>
                    </m:rPr>
                    <w:rPr>
                      <w:rFonts w:ascii="Cambria Math" w:eastAsiaTheme="minorEastAsia" w:hAnsi="Cambria Math" w:cs="Times New Roman"/>
                      <w:sz w:val="20"/>
                      <w:szCs w:val="20"/>
                    </w:rPr>
                    <m:t>(</m:t>
                  </m:r>
                  <m:sSub>
                    <m:sSubPr>
                      <m:ctrlPr>
                        <w:rPr>
                          <w:rFonts w:ascii="Cambria Math" w:eastAsiaTheme="minorEastAsia" w:hAnsi="Cambria Math" w:cs="Times New Roman"/>
                          <w:b/>
                          <w:sz w:val="20"/>
                          <w:szCs w:val="20"/>
                        </w:rPr>
                      </m:ctrlPr>
                    </m:sSubPr>
                    <m:e>
                      <m:r>
                        <m:rPr>
                          <m:sty m:val="b"/>
                        </m:rPr>
                        <w:rPr>
                          <w:rFonts w:ascii="Cambria Math" w:eastAsiaTheme="minorEastAsia" w:hAnsi="Cambria Math" w:cs="Times New Roman"/>
                          <w:sz w:val="20"/>
                          <w:szCs w:val="20"/>
                        </w:rPr>
                        <m:t>TTM</m:t>
                      </m:r>
                    </m:e>
                    <m:sub>
                      <m:r>
                        <m:rPr>
                          <m:sty m:val="b"/>
                        </m:rPr>
                        <w:rPr>
                          <w:rFonts w:ascii="Cambria Math" w:eastAsiaTheme="minorEastAsia" w:hAnsi="Cambria Math" w:cs="Times New Roman"/>
                          <w:sz w:val="20"/>
                          <w:szCs w:val="20"/>
                        </w:rPr>
                        <m:t>I,t</m:t>
                      </m:r>
                    </m:sub>
                  </m:sSub>
                </m:e>
              </m:nary>
              <m:r>
                <m:rPr>
                  <m:sty m:val="b"/>
                </m:rPr>
                <w:rPr>
                  <w:rFonts w:ascii="Cambria Math" w:eastAsiaTheme="minorEastAsia" w:hAnsi="Cambria Math" w:cs="Times New Roman"/>
                  <w:sz w:val="20"/>
                  <w:szCs w:val="20"/>
                </w:rPr>
                <m:t>-</m:t>
              </m:r>
              <m:sSub>
                <m:sSubPr>
                  <m:ctrlPr>
                    <w:rPr>
                      <w:rFonts w:ascii="Cambria Math" w:eastAsiaTheme="minorEastAsia" w:hAnsi="Cambria Math" w:cs="Times New Roman"/>
                      <w:b/>
                      <w:sz w:val="20"/>
                      <w:szCs w:val="20"/>
                    </w:rPr>
                  </m:ctrlPr>
                </m:sSubPr>
                <m:e>
                  <m:r>
                    <m:rPr>
                      <m:sty m:val="b"/>
                    </m:rPr>
                    <w:rPr>
                      <w:rFonts w:ascii="Cambria Math" w:eastAsiaTheme="minorEastAsia" w:hAnsi="Cambria Math" w:cs="Times New Roman"/>
                      <w:sz w:val="20"/>
                      <w:szCs w:val="20"/>
                    </w:rPr>
                    <m:t>TTM</m:t>
                  </m:r>
                </m:e>
                <m:sub>
                  <m:r>
                    <m:rPr>
                      <m:sty m:val="b"/>
                    </m:rPr>
                    <w:rPr>
                      <w:rFonts w:ascii="Cambria Math" w:eastAsiaTheme="minorEastAsia" w:hAnsi="Cambria Math" w:cs="Times New Roman"/>
                      <w:sz w:val="20"/>
                      <w:szCs w:val="20"/>
                    </w:rPr>
                    <m:t>e,t</m:t>
                  </m:r>
                </m:sub>
              </m:sSub>
              <m:r>
                <m:rPr>
                  <m:sty m:val="b"/>
                </m:rPr>
                <w:rPr>
                  <w:rFonts w:ascii="Cambria Math" w:eastAsiaTheme="minorEastAsia" w:hAnsi="Cambria Math" w:cs="Times New Roman"/>
                  <w:sz w:val="20"/>
                  <w:szCs w:val="20"/>
                </w:rPr>
                <m:t>)</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it*</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 xml:space="preserve"> p</m:t>
                  </m:r>
                </m:e>
                <m:sub>
                  <m:r>
                    <w:rPr>
                      <w:rFonts w:ascii="Cambria Math" w:eastAsiaTheme="minorEastAsia" w:hAnsi="Cambria Math" w:cs="Times New Roman"/>
                      <w:sz w:val="20"/>
                      <w:szCs w:val="20"/>
                    </w:rPr>
                    <m:t>et</m:t>
                  </m:r>
                </m:sub>
              </m:sSub>
              <m:r>
                <w:rPr>
                  <w:rFonts w:ascii="Cambria Math" w:eastAsiaTheme="minorEastAsia" w:hAnsi="Cambria Math" w:cs="Times New Roman"/>
                  <w:sz w:val="20"/>
                  <w:szCs w:val="20"/>
                </w:rPr>
                <m:t xml:space="preserve"> </m:t>
              </m:r>
            </m:oMath>
            <w:proofErr w:type="gramStart"/>
            <w:r w:rsidRPr="008B591B">
              <w:rPr>
                <w:rFonts w:ascii="Times New Roman" w:eastAsiaTheme="minorEastAsia" w:hAnsi="Times New Roman" w:cs="Times New Roman"/>
                <w:sz w:val="20"/>
                <w:szCs w:val="20"/>
              </w:rPr>
              <w:t>donde</w:t>
            </w:r>
            <w:proofErr w:type="gramEnd"/>
            <m:oMath>
              <m:r>
                <m:rPr>
                  <m:sty m:val="p"/>
                </m:rPr>
                <w:rPr>
                  <w:rFonts w:ascii="Cambria Math" w:eastAsiaTheme="minorEastAsia" w:hAnsi="Cambria Math" w:cs="Times New Roman"/>
                  <w:sz w:val="20"/>
                  <w:szCs w:val="20"/>
                </w:rPr>
                <m:t xml:space="preserve"> </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it y</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 xml:space="preserve"> p</m:t>
                  </m:r>
                </m:e>
                <m:sub>
                  <m:r>
                    <w:rPr>
                      <w:rFonts w:ascii="Cambria Math" w:eastAsiaTheme="minorEastAsia" w:hAnsi="Cambria Math" w:cs="Times New Roman"/>
                      <w:sz w:val="20"/>
                      <w:szCs w:val="20"/>
                    </w:rPr>
                    <m:t>et</m:t>
                  </m:r>
                </m:sub>
              </m:sSub>
              <m:r>
                <w:rPr>
                  <w:rFonts w:ascii="Cambria Math" w:eastAsiaTheme="minorEastAsia" w:hAnsi="Cambria Math" w:cs="Times New Roman"/>
                  <w:sz w:val="20"/>
                  <w:szCs w:val="20"/>
                </w:rPr>
                <m:t xml:space="preserve"> </m:t>
              </m:r>
            </m:oMath>
            <w:r w:rsidRPr="008B591B">
              <w:rPr>
                <w:rFonts w:ascii="Times New Roman" w:eastAsiaTheme="minorEastAsia" w:hAnsi="Times New Roman" w:cs="Times New Roman"/>
                <w:sz w:val="20"/>
                <w:szCs w:val="20"/>
              </w:rPr>
              <w:t xml:space="preserve">son las participaciones de mercado del </w:t>
            </w:r>
            <w:r w:rsidR="000C0221" w:rsidRPr="008B591B">
              <w:rPr>
                <w:rFonts w:ascii="Times New Roman" w:eastAsiaTheme="minorEastAsia" w:hAnsi="Times New Roman" w:cs="Times New Roman"/>
                <w:sz w:val="20"/>
                <w:szCs w:val="20"/>
              </w:rPr>
              <w:t>preponderante</w:t>
            </w:r>
            <w:r w:rsidRPr="008B591B">
              <w:rPr>
                <w:rFonts w:ascii="Times New Roman" w:eastAsiaTheme="minorEastAsia" w:hAnsi="Times New Roman" w:cs="Times New Roman"/>
                <w:sz w:val="20"/>
                <w:szCs w:val="20"/>
              </w:rPr>
              <w:t>. Por definición</w:t>
            </w:r>
            <m:oMath>
              <m:r>
                <m:rPr>
                  <m:sty m:val="b"/>
                </m:rPr>
                <w:rPr>
                  <w:rFonts w:ascii="Cambria Math" w:eastAsiaTheme="minorEastAsia" w:hAnsi="Cambria Math" w:cs="Times New Roman"/>
                  <w:sz w:val="20"/>
                  <w:szCs w:val="20"/>
                </w:rPr>
                <m:t xml:space="preserve">  </m:t>
              </m:r>
              <m:sSubSup>
                <m:sSubSupPr>
                  <m:ctrlPr>
                    <w:rPr>
                      <w:rFonts w:ascii="Cambria Math" w:eastAsiaTheme="minorEastAsia" w:hAnsi="Cambria Math" w:cs="Times New Roman"/>
                      <w:b/>
                      <w:sz w:val="20"/>
                      <w:szCs w:val="20"/>
                    </w:rPr>
                  </m:ctrlPr>
                </m:sSubSupPr>
                <m:e>
                  <m:r>
                    <m:rPr>
                      <m:sty m:val="b"/>
                    </m:rPr>
                    <w:rPr>
                      <w:rFonts w:ascii="Cambria Math" w:eastAsiaTheme="minorEastAsia" w:hAnsi="Cambria Math" w:cs="Times New Roman"/>
                      <w:sz w:val="20"/>
                      <w:szCs w:val="20"/>
                    </w:rPr>
                    <m:t>AR</m:t>
                  </m:r>
                </m:e>
                <m:sub>
                  <m:r>
                    <m:rPr>
                      <m:sty m:val="b"/>
                    </m:rPr>
                    <w:rPr>
                      <w:rFonts w:ascii="Cambria Math" w:eastAsiaTheme="minorEastAsia" w:hAnsi="Cambria Math" w:cs="Times New Roman"/>
                      <w:sz w:val="20"/>
                      <w:szCs w:val="20"/>
                    </w:rPr>
                    <m:t>t</m:t>
                  </m:r>
                </m:sub>
                <m:sup>
                  <m:r>
                    <m:rPr>
                      <m:sty m:val="b"/>
                    </m:rPr>
                    <w:rPr>
                      <w:rFonts w:ascii="Cambria Math" w:eastAsiaTheme="minorEastAsia" w:hAnsi="Cambria Math" w:cs="Times New Roman"/>
                      <w:sz w:val="20"/>
                      <w:szCs w:val="20"/>
                    </w:rPr>
                    <m:t>I</m:t>
                  </m:r>
                </m:sup>
              </m:sSubSup>
            </m:oMath>
            <w:r w:rsidRPr="008B591B">
              <w:rPr>
                <w:rFonts w:ascii="Times New Roman" w:eastAsiaTheme="minorEastAsia" w:hAnsi="Times New Roman" w:cs="Times New Roman"/>
                <w:sz w:val="20"/>
                <w:szCs w:val="20"/>
              </w:rPr>
              <w:t xml:space="preserve">ya que </w:t>
            </w:r>
            <m:oMath>
              <m:sSub>
                <m:sSubPr>
                  <m:ctrlPr>
                    <w:rPr>
                      <w:rFonts w:ascii="Cambria Math" w:eastAsiaTheme="minorEastAsia" w:hAnsi="Cambria Math" w:cs="Times New Roman"/>
                      <w:b/>
                      <w:bCs/>
                      <w:i/>
                      <w:iCs/>
                      <w:sz w:val="20"/>
                      <w:szCs w:val="20"/>
                    </w:rPr>
                  </m:ctrlPr>
                </m:sSubPr>
                <m:e>
                  <m:r>
                    <m:rPr>
                      <m:sty m:val="bi"/>
                    </m:rPr>
                    <w:rPr>
                      <w:rFonts w:ascii="Cambria Math" w:eastAsiaTheme="minorEastAsia" w:hAnsi="Cambria Math" w:cs="Times New Roman"/>
                      <w:sz w:val="20"/>
                      <w:szCs w:val="20"/>
                    </w:rPr>
                    <m:t>TTM</m:t>
                  </m:r>
                </m:e>
                <m:sub>
                  <m:r>
                    <m:rPr>
                      <m:sty m:val="bi"/>
                    </m:rPr>
                    <w:rPr>
                      <w:rFonts w:ascii="Cambria Math" w:eastAsiaTheme="minorEastAsia" w:hAnsi="Cambria Math" w:cs="Times New Roman"/>
                      <w:sz w:val="20"/>
                      <w:szCs w:val="20"/>
                    </w:rPr>
                    <m:t>I</m:t>
                  </m:r>
                  <m:r>
                    <m:rPr>
                      <m:sty m:val="b"/>
                    </m:rPr>
                    <w:rPr>
                      <w:rFonts w:ascii="Cambria Math" w:eastAsiaTheme="minorEastAsia" w:hAnsi="Cambria Math" w:cs="Times New Roman"/>
                      <w:sz w:val="20"/>
                      <w:szCs w:val="20"/>
                    </w:rPr>
                    <m:t>,</m:t>
                  </m:r>
                  <m:r>
                    <m:rPr>
                      <m:sty m:val="bi"/>
                    </m:rPr>
                    <w:rPr>
                      <w:rFonts w:ascii="Cambria Math" w:eastAsiaTheme="minorEastAsia" w:hAnsi="Cambria Math" w:cs="Times New Roman"/>
                      <w:sz w:val="20"/>
                      <w:szCs w:val="20"/>
                    </w:rPr>
                    <m:t>t</m:t>
                  </m:r>
                </m:sub>
              </m:sSub>
              <m:r>
                <m:rPr>
                  <m:sty m:val="bi"/>
                </m:rPr>
                <w:rPr>
                  <w:rFonts w:ascii="Cambria Math" w:eastAsiaTheme="minorEastAsia" w:hAnsi="Cambria Math" w:cs="Times New Roman"/>
                  <w:sz w:val="20"/>
                  <w:szCs w:val="20"/>
                </w:rPr>
                <m:t xml:space="preserve"> ≤ </m:t>
              </m:r>
              <m:sSub>
                <m:sSubPr>
                  <m:ctrlPr>
                    <w:rPr>
                      <w:rFonts w:ascii="Cambria Math" w:eastAsiaTheme="minorEastAsia" w:hAnsi="Cambria Math" w:cs="Times New Roman"/>
                      <w:b/>
                      <w:bCs/>
                      <w:i/>
                      <w:iCs/>
                      <w:sz w:val="20"/>
                      <w:szCs w:val="20"/>
                    </w:rPr>
                  </m:ctrlPr>
                </m:sSubPr>
                <m:e>
                  <m:r>
                    <m:rPr>
                      <m:sty m:val="bi"/>
                    </m:rPr>
                    <w:rPr>
                      <w:rFonts w:ascii="Cambria Math" w:eastAsiaTheme="minorEastAsia" w:hAnsi="Cambria Math" w:cs="Times New Roman"/>
                      <w:sz w:val="20"/>
                      <w:szCs w:val="20"/>
                    </w:rPr>
                    <m:t>TTM</m:t>
                  </m:r>
                </m:e>
                <m:sub>
                  <m:r>
                    <m:rPr>
                      <m:sty m:val="bi"/>
                    </m:rPr>
                    <w:rPr>
                      <w:rFonts w:ascii="Cambria Math" w:eastAsiaTheme="minorEastAsia" w:hAnsi="Cambria Math" w:cs="Times New Roman"/>
                      <w:sz w:val="20"/>
                      <w:szCs w:val="20"/>
                    </w:rPr>
                    <m:t>e,t</m:t>
                  </m:r>
                </m:sub>
              </m:sSub>
            </m:oMath>
            <w:r w:rsidRPr="008B591B">
              <w:rPr>
                <w:rFonts w:ascii="Times New Roman" w:eastAsiaTheme="minorEastAsia" w:hAnsi="Times New Roman" w:cs="Times New Roman"/>
                <w:bCs/>
                <w:iCs/>
                <w:sz w:val="20"/>
                <w:szCs w:val="20"/>
              </w:rPr>
              <w:t xml:space="preserve">. AR toma valor de cero en todos los periodos en los que no aplicó el régimen asimétrico, por lo que </w:t>
            </w:r>
            <w:r w:rsidR="00AF4401">
              <w:rPr>
                <w:rFonts w:ascii="Times New Roman" w:eastAsiaTheme="minorEastAsia" w:hAnsi="Times New Roman" w:cs="Times New Roman"/>
                <w:bCs/>
                <w:iCs/>
                <w:sz w:val="20"/>
                <w:szCs w:val="20"/>
              </w:rPr>
              <w:t>no se</w:t>
            </w:r>
            <w:r w:rsidR="00E65E5A">
              <w:rPr>
                <w:rFonts w:ascii="Times New Roman" w:eastAsiaTheme="minorEastAsia" w:hAnsi="Times New Roman" w:cs="Times New Roman"/>
                <w:bCs/>
                <w:iCs/>
                <w:sz w:val="20"/>
                <w:szCs w:val="20"/>
              </w:rPr>
              <w:t xml:space="preserve"> </w:t>
            </w:r>
            <w:r w:rsidR="00DC7D33">
              <w:rPr>
                <w:rFonts w:ascii="Times New Roman" w:eastAsiaTheme="minorEastAsia" w:hAnsi="Times New Roman" w:cs="Times New Roman"/>
                <w:bCs/>
                <w:iCs/>
                <w:sz w:val="20"/>
                <w:szCs w:val="20"/>
              </w:rPr>
              <w:t>utiliza en este caso</w:t>
            </w:r>
            <w:r w:rsidR="00AF4401">
              <w:rPr>
                <w:rFonts w:ascii="Times New Roman" w:eastAsiaTheme="minorEastAsia" w:hAnsi="Times New Roman" w:cs="Times New Roman"/>
                <w:bCs/>
                <w:iCs/>
                <w:sz w:val="20"/>
                <w:szCs w:val="20"/>
              </w:rPr>
              <w:t xml:space="preserve"> el logaritmo natural</w:t>
            </w:r>
            <w:r w:rsidRPr="008B591B">
              <w:rPr>
                <w:rFonts w:ascii="Times New Roman" w:eastAsiaTheme="minorEastAsia" w:hAnsi="Times New Roman" w:cs="Times New Roman"/>
                <w:b/>
                <w:bCs/>
                <w:iCs/>
                <w:sz w:val="20"/>
                <w:szCs w:val="20"/>
              </w:rPr>
              <w:t xml:space="preserve">. </w:t>
            </w:r>
          </w:p>
          <w:p w:rsidR="00AF4401" w:rsidRDefault="00AF4401" w:rsidP="00AF4401">
            <w:pPr>
              <w:widowControl w:val="0"/>
              <w:autoSpaceDE w:val="0"/>
              <w:autoSpaceDN w:val="0"/>
              <w:adjustRightInd w:val="0"/>
              <w:spacing w:after="120"/>
              <w:jc w:val="both"/>
              <w:rPr>
                <w:rFonts w:ascii="Times New Roman" w:hAnsi="Times New Roman" w:cs="Times New Roman"/>
                <w:sz w:val="20"/>
                <w:szCs w:val="20"/>
              </w:rPr>
            </w:pPr>
            <w:r w:rsidRPr="00AF4401">
              <w:rPr>
                <w:rFonts w:ascii="Times New Roman" w:eastAsiaTheme="minorEastAsia" w:hAnsi="Times New Roman" w:cs="Times New Roman"/>
                <w:bCs/>
                <w:iCs/>
                <w:sz w:val="20"/>
                <w:szCs w:val="20"/>
              </w:rPr>
              <w:t xml:space="preserve">En el planteamiento de </w:t>
            </w:r>
            <w:proofErr w:type="spellStart"/>
            <w:r w:rsidRPr="00AF4401">
              <w:rPr>
                <w:rFonts w:ascii="Times New Roman" w:eastAsiaTheme="minorEastAsia" w:hAnsi="Times New Roman" w:cs="Times New Roman"/>
                <w:bCs/>
                <w:iCs/>
                <w:sz w:val="20"/>
                <w:szCs w:val="20"/>
              </w:rPr>
              <w:t>Baranes</w:t>
            </w:r>
            <w:proofErr w:type="spellEnd"/>
            <w:r w:rsidRPr="00AF4401">
              <w:rPr>
                <w:rFonts w:ascii="Times New Roman" w:eastAsiaTheme="minorEastAsia" w:hAnsi="Times New Roman" w:cs="Times New Roman"/>
                <w:bCs/>
                <w:iCs/>
                <w:sz w:val="20"/>
                <w:szCs w:val="20"/>
              </w:rPr>
              <w:t xml:space="preserve"> (2011</w:t>
            </w:r>
            <w:r w:rsidR="00E65E5A">
              <w:rPr>
                <w:rFonts w:ascii="Times New Roman" w:eastAsiaTheme="minorEastAsia" w:hAnsi="Times New Roman" w:cs="Times New Roman"/>
                <w:bCs/>
                <w:iCs/>
                <w:sz w:val="20"/>
                <w:szCs w:val="20"/>
              </w:rPr>
              <w:t>a y</w:t>
            </w:r>
            <w:r w:rsidRPr="00AF4401">
              <w:rPr>
                <w:rFonts w:ascii="Times New Roman" w:eastAsiaTheme="minorEastAsia" w:hAnsi="Times New Roman" w:cs="Times New Roman"/>
                <w:bCs/>
                <w:iCs/>
                <w:sz w:val="20"/>
                <w:szCs w:val="20"/>
              </w:rPr>
              <w:t xml:space="preserve"> b)</w:t>
            </w:r>
            <w:r>
              <w:rPr>
                <w:rFonts w:ascii="Times New Roman" w:eastAsiaTheme="minorEastAsia" w:hAnsi="Times New Roman" w:cs="Times New Roman"/>
                <w:b/>
                <w:bCs/>
                <w:iCs/>
                <w:sz w:val="20"/>
                <w:szCs w:val="20"/>
              </w:rPr>
              <w:t xml:space="preserve"> </w:t>
            </w:r>
            <w:r>
              <w:rPr>
                <w:rFonts w:ascii="Times New Roman" w:eastAsiaTheme="minorEastAsia" w:hAnsi="Times New Roman" w:cs="Times New Roman"/>
                <w:bCs/>
                <w:iCs/>
                <w:sz w:val="20"/>
                <w:szCs w:val="20"/>
              </w:rPr>
              <w:t>la asimetría se pondera por e</w:t>
            </w:r>
            <w:r w:rsidR="00312CE1" w:rsidRPr="008B591B">
              <w:rPr>
                <w:rFonts w:ascii="Times New Roman" w:eastAsiaTheme="minorEastAsia" w:hAnsi="Times New Roman" w:cs="Times New Roman"/>
                <w:bCs/>
                <w:iCs/>
                <w:sz w:val="20"/>
                <w:szCs w:val="20"/>
              </w:rPr>
              <w:t>l cociente de las participaciones de mercado</w:t>
            </w:r>
            <w:r>
              <w:rPr>
                <w:rFonts w:ascii="Times New Roman" w:eastAsiaTheme="minorEastAsia" w:hAnsi="Times New Roman" w:cs="Times New Roman"/>
                <w:bCs/>
                <w:iCs/>
                <w:sz w:val="20"/>
                <w:szCs w:val="20"/>
              </w:rPr>
              <w:t xml:space="preserve">. </w:t>
            </w:r>
            <w:r w:rsidRPr="00AF4401">
              <w:rPr>
                <w:rFonts w:ascii="Times New Roman" w:hAnsi="Times New Roman" w:cs="Times New Roman"/>
                <w:sz w:val="20"/>
                <w:szCs w:val="20"/>
              </w:rPr>
              <w:t xml:space="preserve">Para esta ecuación </w:t>
            </w:r>
            <w:r>
              <w:rPr>
                <w:rFonts w:ascii="Times New Roman" w:hAnsi="Times New Roman" w:cs="Times New Roman"/>
                <w:sz w:val="20"/>
                <w:szCs w:val="20"/>
              </w:rPr>
              <w:t xml:space="preserve">se consideró más conveniente </w:t>
            </w:r>
            <w:r w:rsidR="00DC7D33">
              <w:rPr>
                <w:rFonts w:ascii="Times New Roman" w:hAnsi="Times New Roman" w:cs="Times New Roman"/>
                <w:sz w:val="20"/>
                <w:szCs w:val="20"/>
              </w:rPr>
              <w:t>multipli</w:t>
            </w:r>
            <w:r w:rsidR="00E65E5A">
              <w:rPr>
                <w:rFonts w:ascii="Times New Roman" w:hAnsi="Times New Roman" w:cs="Times New Roman"/>
                <w:sz w:val="20"/>
                <w:szCs w:val="20"/>
              </w:rPr>
              <w:t>carlas. L</w:t>
            </w:r>
            <w:r w:rsidR="00DC7D33">
              <w:rPr>
                <w:rFonts w:ascii="Times New Roman" w:hAnsi="Times New Roman" w:cs="Times New Roman"/>
                <w:sz w:val="20"/>
                <w:szCs w:val="20"/>
              </w:rPr>
              <w:t xml:space="preserve">o anterior, porque a diferencia del esquema citado, </w:t>
            </w:r>
            <w:r w:rsidR="00D53061">
              <w:rPr>
                <w:rFonts w:ascii="Times New Roman" w:hAnsi="Times New Roman" w:cs="Times New Roman"/>
                <w:sz w:val="20"/>
                <w:szCs w:val="20"/>
              </w:rPr>
              <w:t xml:space="preserve">creemos que </w:t>
            </w:r>
            <w:r w:rsidR="00DC7D33">
              <w:rPr>
                <w:rFonts w:ascii="Times New Roman" w:hAnsi="Times New Roman" w:cs="Times New Roman"/>
                <w:sz w:val="20"/>
                <w:szCs w:val="20"/>
              </w:rPr>
              <w:t>nuestra propuesta permite reflejar con mayor precisi</w:t>
            </w:r>
            <w:r w:rsidR="00E65E5A">
              <w:rPr>
                <w:rFonts w:ascii="Times New Roman" w:hAnsi="Times New Roman" w:cs="Times New Roman"/>
                <w:sz w:val="20"/>
                <w:szCs w:val="20"/>
              </w:rPr>
              <w:t>ón la relevancia relativa que tendría el esquema a</w:t>
            </w:r>
            <w:r w:rsidR="00D53061">
              <w:rPr>
                <w:rFonts w:ascii="Times New Roman" w:hAnsi="Times New Roman" w:cs="Times New Roman"/>
                <w:sz w:val="20"/>
                <w:szCs w:val="20"/>
              </w:rPr>
              <w:t>s</w:t>
            </w:r>
            <w:r w:rsidR="00E65E5A">
              <w:rPr>
                <w:rFonts w:ascii="Times New Roman" w:hAnsi="Times New Roman" w:cs="Times New Roman"/>
                <w:sz w:val="20"/>
                <w:szCs w:val="20"/>
              </w:rPr>
              <w:t>imétrico</w:t>
            </w:r>
            <w:r w:rsidR="00D53061">
              <w:rPr>
                <w:rFonts w:ascii="Times New Roman" w:hAnsi="Times New Roman" w:cs="Times New Roman"/>
                <w:sz w:val="20"/>
                <w:szCs w:val="20"/>
              </w:rPr>
              <w:t>,</w:t>
            </w:r>
            <w:r w:rsidR="00E65E5A">
              <w:rPr>
                <w:rFonts w:ascii="Times New Roman" w:hAnsi="Times New Roman" w:cs="Times New Roman"/>
                <w:sz w:val="20"/>
                <w:szCs w:val="20"/>
              </w:rPr>
              <w:t xml:space="preserve"> en el caso de que alguna de las</w:t>
            </w:r>
            <w:r w:rsidR="00DC7D33">
              <w:rPr>
                <w:rFonts w:ascii="Times New Roman" w:hAnsi="Times New Roman" w:cs="Times New Roman"/>
                <w:sz w:val="20"/>
                <w:szCs w:val="20"/>
              </w:rPr>
              <w:t xml:space="preserve"> participaciones de mercado </w:t>
            </w:r>
            <w:r w:rsidR="00E65E5A">
              <w:rPr>
                <w:rFonts w:ascii="Times New Roman" w:hAnsi="Times New Roman" w:cs="Times New Roman"/>
                <w:sz w:val="20"/>
                <w:szCs w:val="20"/>
              </w:rPr>
              <w:t>se redujera</w:t>
            </w:r>
            <w:r w:rsidR="00D53061">
              <w:rPr>
                <w:rFonts w:ascii="Times New Roman" w:hAnsi="Times New Roman" w:cs="Times New Roman"/>
                <w:sz w:val="20"/>
                <w:szCs w:val="20"/>
              </w:rPr>
              <w:t xml:space="preserve"> tendiendo a cero. </w:t>
            </w:r>
            <w:r w:rsidR="00E65E5A">
              <w:rPr>
                <w:rFonts w:ascii="Times New Roman" w:hAnsi="Times New Roman" w:cs="Times New Roman"/>
                <w:sz w:val="20"/>
                <w:szCs w:val="20"/>
              </w:rPr>
              <w:t xml:space="preserve"> </w:t>
            </w:r>
          </w:p>
          <w:p w:rsidR="000B6877" w:rsidRPr="00571490" w:rsidRDefault="000B6877" w:rsidP="00AF4401">
            <w:pPr>
              <w:widowControl w:val="0"/>
              <w:autoSpaceDE w:val="0"/>
              <w:autoSpaceDN w:val="0"/>
              <w:adjustRightInd w:val="0"/>
              <w:spacing w:after="120"/>
              <w:jc w:val="both"/>
              <w:rPr>
                <w:rFonts w:ascii="Times New Roman" w:eastAsiaTheme="minorEastAsia" w:hAnsi="Times New Roman" w:cs="Times New Roman"/>
                <w:sz w:val="20"/>
                <w:szCs w:val="20"/>
              </w:rPr>
            </w:pPr>
          </w:p>
        </w:tc>
      </w:tr>
      <w:tr w:rsidR="000B6877" w:rsidRPr="005D226A" w:rsidTr="006C5565">
        <w:tc>
          <w:tcPr>
            <w:tcW w:w="1360" w:type="dxa"/>
          </w:tcPr>
          <w:p w:rsidR="000B6877" w:rsidRPr="008B591B" w:rsidRDefault="00741A19" w:rsidP="003E0128">
            <w:pPr>
              <w:widowControl w:val="0"/>
              <w:autoSpaceDE w:val="0"/>
              <w:autoSpaceDN w:val="0"/>
              <w:adjustRightInd w:val="0"/>
              <w:spacing w:line="480" w:lineRule="auto"/>
              <w:jc w:val="both"/>
              <w:rPr>
                <w:rFonts w:ascii="Times New Roman" w:eastAsia="Calibri" w:hAnsi="Times New Roman" w:cs="Times New Roman"/>
                <w:sz w:val="20"/>
                <w:szCs w:val="20"/>
              </w:rPr>
            </w:pPr>
            <m:oMathPara>
              <m:oMathParaPr>
                <m:jc m:val="left"/>
              </m:oMathParaPr>
              <m:oMath>
                <m:r>
                  <m:rPr>
                    <m:sty m:val="p"/>
                  </m:rPr>
                  <w:rPr>
                    <w:rFonts w:ascii="Cambria Math" w:hAnsi="Cambria Math" w:cs="Times New Roman"/>
                    <w:sz w:val="20"/>
                    <w:szCs w:val="20"/>
                  </w:rPr>
                  <m:t>lH</m:t>
                </m:r>
                <m:sSub>
                  <m:sSubPr>
                    <m:ctrlPr>
                      <w:rPr>
                        <w:rFonts w:ascii="Cambria Math" w:hAnsi="Cambria Math" w:cs="Times New Roman"/>
                        <w:iCs/>
                        <w:sz w:val="20"/>
                        <w:szCs w:val="20"/>
                      </w:rPr>
                    </m:ctrlPr>
                  </m:sSubPr>
                  <m:e>
                    <m:r>
                      <m:rPr>
                        <m:sty m:val="p"/>
                      </m:rPr>
                      <w:rPr>
                        <w:rFonts w:ascii="Cambria Math" w:hAnsi="Cambria Math" w:cs="Times New Roman"/>
                        <w:sz w:val="20"/>
                        <w:szCs w:val="20"/>
                      </w:rPr>
                      <m:t>HI</m:t>
                    </m:r>
                  </m:e>
                  <m:sub>
                    <m:r>
                      <m:rPr>
                        <m:sty m:val="p"/>
                      </m:rPr>
                      <w:rPr>
                        <w:rFonts w:ascii="Cambria Math" w:hAnsi="Cambria Math" w:cs="Times New Roman"/>
                        <w:sz w:val="20"/>
                        <w:szCs w:val="20"/>
                      </w:rPr>
                      <m:t>t</m:t>
                    </m:r>
                  </m:sub>
                </m:sSub>
              </m:oMath>
            </m:oMathPara>
          </w:p>
        </w:tc>
        <w:tc>
          <w:tcPr>
            <w:tcW w:w="7478" w:type="dxa"/>
          </w:tcPr>
          <w:p w:rsidR="00915B7F" w:rsidRDefault="000B6877" w:rsidP="00B71AE9">
            <w:pPr>
              <w:widowControl w:val="0"/>
              <w:autoSpaceDE w:val="0"/>
              <w:autoSpaceDN w:val="0"/>
              <w:adjustRightInd w:val="0"/>
              <w:spacing w:after="120"/>
              <w:jc w:val="both"/>
              <w:rPr>
                <w:rFonts w:ascii="Times New Roman" w:hAnsi="Times New Roman" w:cs="Times New Roman"/>
                <w:sz w:val="20"/>
                <w:szCs w:val="20"/>
              </w:rPr>
            </w:pPr>
            <w:proofErr w:type="gramStart"/>
            <w:r w:rsidRPr="008B591B">
              <w:rPr>
                <w:rFonts w:ascii="Times New Roman" w:hAnsi="Times New Roman" w:cs="Times New Roman"/>
                <w:sz w:val="20"/>
                <w:szCs w:val="20"/>
              </w:rPr>
              <w:t>logaritmo</w:t>
            </w:r>
            <w:proofErr w:type="gramEnd"/>
            <w:r w:rsidRPr="008B591B">
              <w:rPr>
                <w:rFonts w:ascii="Times New Roman" w:hAnsi="Times New Roman" w:cs="Times New Roman"/>
                <w:sz w:val="20"/>
                <w:szCs w:val="20"/>
              </w:rPr>
              <w:t xml:space="preserve"> natural del </w:t>
            </w:r>
            <w:proofErr w:type="spellStart"/>
            <w:r w:rsidRPr="008B591B">
              <w:rPr>
                <w:rFonts w:ascii="Times New Roman" w:hAnsi="Times New Roman" w:cs="Times New Roman"/>
                <w:sz w:val="20"/>
                <w:szCs w:val="20"/>
              </w:rPr>
              <w:t>Indice</w:t>
            </w:r>
            <w:proofErr w:type="spellEnd"/>
            <w:r w:rsidRPr="008B591B">
              <w:rPr>
                <w:rFonts w:ascii="Times New Roman" w:hAnsi="Times New Roman" w:cs="Times New Roman"/>
                <w:sz w:val="20"/>
                <w:szCs w:val="20"/>
              </w:rPr>
              <w:t xml:space="preserve"> </w:t>
            </w:r>
            <w:proofErr w:type="spellStart"/>
            <w:r w:rsidRPr="008B591B">
              <w:rPr>
                <w:rFonts w:ascii="Times New Roman" w:hAnsi="Times New Roman" w:cs="Times New Roman"/>
                <w:sz w:val="20"/>
                <w:szCs w:val="20"/>
              </w:rPr>
              <w:t>Herfindahl</w:t>
            </w:r>
            <w:proofErr w:type="spellEnd"/>
            <w:r w:rsidRPr="008B591B">
              <w:rPr>
                <w:rFonts w:ascii="Times New Roman" w:hAnsi="Times New Roman" w:cs="Times New Roman"/>
                <w:sz w:val="20"/>
                <w:szCs w:val="20"/>
              </w:rPr>
              <w:t xml:space="preserve"> </w:t>
            </w:r>
            <w:proofErr w:type="spellStart"/>
            <w:r w:rsidRPr="008B591B">
              <w:rPr>
                <w:rFonts w:ascii="Times New Roman" w:hAnsi="Times New Roman" w:cs="Times New Roman"/>
                <w:sz w:val="20"/>
                <w:szCs w:val="20"/>
              </w:rPr>
              <w:t>Hirshman</w:t>
            </w:r>
            <w:proofErr w:type="spellEnd"/>
            <w:r w:rsidRPr="008B591B">
              <w:rPr>
                <w:rStyle w:val="Refdenotaalpie"/>
                <w:rFonts w:ascii="Times New Roman" w:hAnsi="Times New Roman" w:cs="Times New Roman"/>
                <w:sz w:val="20"/>
                <w:szCs w:val="20"/>
              </w:rPr>
              <w:footnoteReference w:id="11"/>
            </w:r>
            <w:r w:rsidR="00971251" w:rsidRPr="008B591B">
              <w:rPr>
                <w:rFonts w:ascii="Times New Roman" w:hAnsi="Times New Roman" w:cs="Times New Roman"/>
                <w:sz w:val="20"/>
                <w:szCs w:val="20"/>
              </w:rPr>
              <w:t xml:space="preserve">, que mide </w:t>
            </w:r>
            <w:r w:rsidRPr="008B591B">
              <w:rPr>
                <w:rFonts w:ascii="Times New Roman" w:hAnsi="Times New Roman" w:cs="Times New Roman"/>
                <w:sz w:val="20"/>
                <w:szCs w:val="20"/>
              </w:rPr>
              <w:t>la concentraci</w:t>
            </w:r>
            <w:r w:rsidR="00915B7F">
              <w:rPr>
                <w:rFonts w:ascii="Times New Roman" w:hAnsi="Times New Roman" w:cs="Times New Roman"/>
                <w:sz w:val="20"/>
                <w:szCs w:val="20"/>
              </w:rPr>
              <w:t>ón del mercado en el periodo t.</w:t>
            </w:r>
          </w:p>
          <w:p w:rsidR="00915B7F" w:rsidRDefault="00915B7F"/>
          <w:tbl>
            <w:tblPr>
              <w:tblStyle w:val="Tablaconcuadrcula"/>
              <w:tblW w:w="0" w:type="auto"/>
              <w:tblInd w:w="5" w:type="dxa"/>
              <w:tblLook w:val="04A0" w:firstRow="1" w:lastRow="0" w:firstColumn="1" w:lastColumn="0" w:noHBand="0" w:noVBand="1"/>
            </w:tblPr>
            <w:tblGrid>
              <w:gridCol w:w="3823"/>
              <w:gridCol w:w="1564"/>
            </w:tblGrid>
            <w:tr w:rsidR="00971251" w:rsidRPr="008B591B" w:rsidTr="00571490">
              <w:tc>
                <w:tcPr>
                  <w:tcW w:w="5387" w:type="dxa"/>
                  <w:gridSpan w:val="2"/>
                  <w:tcBorders>
                    <w:left w:val="nil"/>
                    <w:right w:val="nil"/>
                  </w:tcBorders>
                </w:tcPr>
                <w:p w:rsidR="00971251" w:rsidRPr="00571490" w:rsidRDefault="00971251" w:rsidP="00B71AE9">
                  <w:pPr>
                    <w:widowControl w:val="0"/>
                    <w:autoSpaceDE w:val="0"/>
                    <w:autoSpaceDN w:val="0"/>
                    <w:adjustRightInd w:val="0"/>
                    <w:spacing w:after="120"/>
                    <w:jc w:val="both"/>
                    <w:rPr>
                      <w:rFonts w:ascii="Times New Roman" w:eastAsiaTheme="minorEastAsia" w:hAnsi="Times New Roman" w:cs="Times New Roman"/>
                      <w:b/>
                      <w:sz w:val="18"/>
                      <w:szCs w:val="18"/>
                    </w:rPr>
                  </w:pPr>
                  <w:r w:rsidRPr="00571490">
                    <w:rPr>
                      <w:rFonts w:ascii="Times New Roman" w:eastAsiaTheme="minorEastAsia" w:hAnsi="Times New Roman" w:cs="Times New Roman"/>
                      <w:b/>
                      <w:sz w:val="18"/>
                      <w:szCs w:val="18"/>
                    </w:rPr>
                    <w:t xml:space="preserve">Relación esperada de las Variables explicativas con el </w:t>
                  </w:r>
                  <w:proofErr w:type="spellStart"/>
                  <w:r w:rsidRPr="00571490">
                    <w:rPr>
                      <w:rFonts w:ascii="Times New Roman" w:eastAsiaTheme="minorEastAsia" w:hAnsi="Times New Roman" w:cs="Times New Roman"/>
                      <w:b/>
                      <w:sz w:val="18"/>
                      <w:szCs w:val="18"/>
                    </w:rPr>
                    <w:t>IpM</w:t>
                  </w:r>
                  <w:proofErr w:type="spellEnd"/>
                </w:p>
              </w:tc>
            </w:tr>
            <w:tr w:rsidR="00312CE1" w:rsidRPr="008B591B" w:rsidTr="00571490">
              <w:tc>
                <w:tcPr>
                  <w:tcW w:w="3823" w:type="dxa"/>
                </w:tcPr>
                <w:p w:rsidR="00312CE1" w:rsidRPr="008B591B" w:rsidRDefault="00971251" w:rsidP="00B71AE9">
                  <w:pPr>
                    <w:widowControl w:val="0"/>
                    <w:autoSpaceDE w:val="0"/>
                    <w:autoSpaceDN w:val="0"/>
                    <w:adjustRightInd w:val="0"/>
                    <w:spacing w:after="120"/>
                    <w:jc w:val="both"/>
                    <w:rPr>
                      <w:rFonts w:ascii="Times New Roman" w:eastAsiaTheme="minorEastAsia" w:hAnsi="Times New Roman" w:cs="Times New Roman"/>
                      <w:sz w:val="20"/>
                      <w:szCs w:val="20"/>
                    </w:rPr>
                  </w:pPr>
                  <m:oMathPara>
                    <m:oMath>
                      <m:r>
                        <m:rPr>
                          <m:sty m:val="p"/>
                        </m:rPr>
                        <w:rPr>
                          <w:rFonts w:ascii="Cambria Math" w:hAnsi="Cambria Math" w:cs="Times New Roman"/>
                          <w:sz w:val="20"/>
                          <w:szCs w:val="20"/>
                        </w:rPr>
                        <m:t>lnTTMprom</m:t>
                      </m:r>
                    </m:oMath>
                  </m:oMathPara>
                </w:p>
              </w:tc>
              <w:tc>
                <w:tcPr>
                  <w:tcW w:w="1564" w:type="dxa"/>
                </w:tcPr>
                <w:p w:rsidR="00312CE1" w:rsidRPr="008B591B" w:rsidRDefault="00743C2B" w:rsidP="00B71AE9">
                  <w:pPr>
                    <w:widowControl w:val="0"/>
                    <w:autoSpaceDE w:val="0"/>
                    <w:autoSpaceDN w:val="0"/>
                    <w:adjustRightInd w:val="0"/>
                    <w:spacing w:after="120"/>
                    <w:jc w:val="both"/>
                    <w:rPr>
                      <w:rFonts w:ascii="Times New Roman" w:eastAsiaTheme="minorEastAsia" w:hAnsi="Times New Roman" w:cs="Times New Roman"/>
                      <w:sz w:val="20"/>
                      <w:szCs w:val="20"/>
                    </w:rPr>
                  </w:pPr>
                  <w:r w:rsidRPr="008B591B">
                    <w:rPr>
                      <w:rFonts w:ascii="Times New Roman" w:eastAsiaTheme="minorEastAsia" w:hAnsi="Times New Roman" w:cs="Times New Roman"/>
                      <w:sz w:val="20"/>
                      <w:szCs w:val="20"/>
                    </w:rPr>
                    <w:t>&gt;</w:t>
                  </w:r>
                  <w:r w:rsidR="00236DDE" w:rsidRPr="008B591B">
                    <w:rPr>
                      <w:rFonts w:ascii="Times New Roman" w:eastAsiaTheme="minorEastAsia" w:hAnsi="Times New Roman" w:cs="Times New Roman"/>
                      <w:sz w:val="20"/>
                      <w:szCs w:val="20"/>
                    </w:rPr>
                    <w:t>0</w:t>
                  </w:r>
                </w:p>
              </w:tc>
            </w:tr>
            <w:tr w:rsidR="00312CE1" w:rsidRPr="008B591B" w:rsidTr="00571490">
              <w:tc>
                <w:tcPr>
                  <w:tcW w:w="3823" w:type="dxa"/>
                </w:tcPr>
                <w:p w:rsidR="00312CE1" w:rsidRPr="008B591B" w:rsidRDefault="0026031C" w:rsidP="00B71AE9">
                  <w:pPr>
                    <w:widowControl w:val="0"/>
                    <w:autoSpaceDE w:val="0"/>
                    <w:autoSpaceDN w:val="0"/>
                    <w:adjustRightInd w:val="0"/>
                    <w:spacing w:after="120"/>
                    <w:jc w:val="both"/>
                    <w:rPr>
                      <w:rFonts w:ascii="Times New Roman" w:eastAsiaTheme="minorEastAsia" w:hAnsi="Times New Roman" w:cs="Times New Roman"/>
                      <w:sz w:val="20"/>
                      <w:szCs w:val="20"/>
                    </w:rPr>
                  </w:pPr>
                  <m:oMathPara>
                    <m:oMath>
                      <m:sSubSup>
                        <m:sSubSupPr>
                          <m:ctrlPr>
                            <w:rPr>
                              <w:rFonts w:ascii="Cambria Math" w:eastAsiaTheme="minorEastAsia" w:hAnsi="Cambria Math" w:cs="Times New Roman"/>
                              <w:sz w:val="20"/>
                              <w:szCs w:val="20"/>
                            </w:rPr>
                          </m:ctrlPr>
                        </m:sSubSupPr>
                        <m:e>
                          <m:r>
                            <m:rPr>
                              <m:sty m:val="p"/>
                            </m:rPr>
                            <w:rPr>
                              <w:rFonts w:ascii="Cambria Math" w:eastAsiaTheme="minorEastAsia" w:hAnsi="Cambria Math" w:cs="Times New Roman"/>
                              <w:sz w:val="20"/>
                              <w:szCs w:val="20"/>
                            </w:rPr>
                            <m:t>AR</m:t>
                          </m:r>
                        </m:e>
                        <m:sub>
                          <m:r>
                            <m:rPr>
                              <m:sty m:val="p"/>
                            </m:rPr>
                            <w:rPr>
                              <w:rFonts w:ascii="Cambria Math" w:eastAsiaTheme="minorEastAsia" w:hAnsi="Cambria Math" w:cs="Times New Roman"/>
                              <w:sz w:val="20"/>
                              <w:szCs w:val="20"/>
                            </w:rPr>
                            <m:t>t</m:t>
                          </m:r>
                        </m:sub>
                        <m:sup>
                          <m:r>
                            <m:rPr>
                              <m:sty m:val="p"/>
                            </m:rPr>
                            <w:rPr>
                              <w:rFonts w:ascii="Cambria Math" w:eastAsiaTheme="minorEastAsia" w:hAnsi="Cambria Math" w:cs="Times New Roman"/>
                              <w:sz w:val="20"/>
                              <w:szCs w:val="20"/>
                            </w:rPr>
                            <m:t>I</m:t>
                          </m:r>
                        </m:sup>
                      </m:sSubSup>
                    </m:oMath>
                  </m:oMathPara>
                </w:p>
              </w:tc>
              <w:tc>
                <w:tcPr>
                  <w:tcW w:w="1564" w:type="dxa"/>
                </w:tcPr>
                <w:p w:rsidR="00312CE1" w:rsidRPr="008B591B" w:rsidRDefault="00743C2B" w:rsidP="00B71AE9">
                  <w:pPr>
                    <w:widowControl w:val="0"/>
                    <w:autoSpaceDE w:val="0"/>
                    <w:autoSpaceDN w:val="0"/>
                    <w:adjustRightInd w:val="0"/>
                    <w:spacing w:after="120"/>
                    <w:jc w:val="both"/>
                    <w:rPr>
                      <w:rFonts w:ascii="Times New Roman" w:eastAsiaTheme="minorEastAsia" w:hAnsi="Times New Roman" w:cs="Times New Roman"/>
                      <w:sz w:val="20"/>
                      <w:szCs w:val="20"/>
                    </w:rPr>
                  </w:pPr>
                  <w:r w:rsidRPr="008B591B">
                    <w:rPr>
                      <w:rFonts w:ascii="Times New Roman" w:eastAsiaTheme="minorEastAsia" w:hAnsi="Times New Roman" w:cs="Times New Roman"/>
                      <w:sz w:val="20"/>
                      <w:szCs w:val="20"/>
                    </w:rPr>
                    <w:t>&gt;</w:t>
                  </w:r>
                  <w:r w:rsidR="00236DDE" w:rsidRPr="008B591B">
                    <w:rPr>
                      <w:rFonts w:ascii="Times New Roman" w:eastAsiaTheme="minorEastAsia" w:hAnsi="Times New Roman" w:cs="Times New Roman"/>
                      <w:sz w:val="20"/>
                      <w:szCs w:val="20"/>
                    </w:rPr>
                    <w:t>0</w:t>
                  </w:r>
                </w:p>
              </w:tc>
            </w:tr>
            <w:tr w:rsidR="00312CE1" w:rsidRPr="008B591B" w:rsidTr="00571490">
              <w:tc>
                <w:tcPr>
                  <w:tcW w:w="3823" w:type="dxa"/>
                </w:tcPr>
                <w:p w:rsidR="00312CE1" w:rsidRPr="008B591B" w:rsidRDefault="00971251" w:rsidP="00B71AE9">
                  <w:pPr>
                    <w:widowControl w:val="0"/>
                    <w:autoSpaceDE w:val="0"/>
                    <w:autoSpaceDN w:val="0"/>
                    <w:adjustRightInd w:val="0"/>
                    <w:spacing w:after="120"/>
                    <w:jc w:val="both"/>
                    <w:rPr>
                      <w:rFonts w:ascii="Times New Roman" w:eastAsiaTheme="minorEastAsia" w:hAnsi="Times New Roman" w:cs="Times New Roman"/>
                      <w:sz w:val="20"/>
                      <w:szCs w:val="20"/>
                    </w:rPr>
                  </w:pPr>
                  <m:oMathPara>
                    <m:oMath>
                      <m:r>
                        <m:rPr>
                          <m:sty m:val="p"/>
                        </m:rPr>
                        <w:rPr>
                          <w:rFonts w:ascii="Cambria Math" w:hAnsi="Cambria Math" w:cs="Times New Roman"/>
                          <w:sz w:val="20"/>
                          <w:szCs w:val="20"/>
                        </w:rPr>
                        <m:t>lH</m:t>
                      </m:r>
                      <m:sSub>
                        <m:sSubPr>
                          <m:ctrlPr>
                            <w:rPr>
                              <w:rFonts w:ascii="Cambria Math" w:hAnsi="Cambria Math" w:cs="Times New Roman"/>
                              <w:iCs/>
                              <w:sz w:val="20"/>
                              <w:szCs w:val="20"/>
                            </w:rPr>
                          </m:ctrlPr>
                        </m:sSubPr>
                        <m:e>
                          <m:r>
                            <m:rPr>
                              <m:sty m:val="p"/>
                            </m:rPr>
                            <w:rPr>
                              <w:rFonts w:ascii="Cambria Math" w:hAnsi="Cambria Math" w:cs="Times New Roman"/>
                              <w:sz w:val="20"/>
                              <w:szCs w:val="20"/>
                            </w:rPr>
                            <m:t>HI</m:t>
                          </m:r>
                        </m:e>
                        <m:sub>
                          <m:r>
                            <m:rPr>
                              <m:sty m:val="p"/>
                            </m:rPr>
                            <w:rPr>
                              <w:rFonts w:ascii="Cambria Math" w:hAnsi="Cambria Math" w:cs="Times New Roman"/>
                              <w:sz w:val="20"/>
                              <w:szCs w:val="20"/>
                            </w:rPr>
                            <m:t>t</m:t>
                          </m:r>
                        </m:sub>
                      </m:sSub>
                    </m:oMath>
                  </m:oMathPara>
                </w:p>
              </w:tc>
              <w:tc>
                <w:tcPr>
                  <w:tcW w:w="1564" w:type="dxa"/>
                </w:tcPr>
                <w:p w:rsidR="00312CE1" w:rsidRPr="008B591B" w:rsidRDefault="00743C2B" w:rsidP="00B71AE9">
                  <w:pPr>
                    <w:widowControl w:val="0"/>
                    <w:autoSpaceDE w:val="0"/>
                    <w:autoSpaceDN w:val="0"/>
                    <w:adjustRightInd w:val="0"/>
                    <w:spacing w:after="120"/>
                    <w:jc w:val="both"/>
                    <w:rPr>
                      <w:rFonts w:ascii="Times New Roman" w:eastAsiaTheme="minorEastAsia" w:hAnsi="Times New Roman" w:cs="Times New Roman"/>
                      <w:sz w:val="20"/>
                      <w:szCs w:val="20"/>
                    </w:rPr>
                  </w:pPr>
                  <w:r w:rsidRPr="008B591B">
                    <w:rPr>
                      <w:rFonts w:ascii="Times New Roman" w:eastAsiaTheme="minorEastAsia" w:hAnsi="Times New Roman" w:cs="Times New Roman"/>
                      <w:sz w:val="20"/>
                      <w:szCs w:val="20"/>
                    </w:rPr>
                    <w:t>&gt;</w:t>
                  </w:r>
                  <w:r w:rsidR="00236DDE" w:rsidRPr="008B591B">
                    <w:rPr>
                      <w:rFonts w:ascii="Times New Roman" w:eastAsiaTheme="minorEastAsia" w:hAnsi="Times New Roman" w:cs="Times New Roman"/>
                      <w:sz w:val="20"/>
                      <w:szCs w:val="20"/>
                    </w:rPr>
                    <w:t>0</w:t>
                  </w:r>
                </w:p>
              </w:tc>
            </w:tr>
          </w:tbl>
          <w:p w:rsidR="00312CE1" w:rsidRPr="008B591B" w:rsidRDefault="00312CE1" w:rsidP="00B71AE9">
            <w:pPr>
              <w:widowControl w:val="0"/>
              <w:autoSpaceDE w:val="0"/>
              <w:autoSpaceDN w:val="0"/>
              <w:adjustRightInd w:val="0"/>
              <w:spacing w:after="120"/>
              <w:jc w:val="both"/>
              <w:rPr>
                <w:rFonts w:ascii="Times New Roman" w:eastAsiaTheme="minorEastAsia" w:hAnsi="Times New Roman" w:cs="Times New Roman"/>
                <w:sz w:val="20"/>
                <w:szCs w:val="20"/>
              </w:rPr>
            </w:pPr>
          </w:p>
        </w:tc>
      </w:tr>
    </w:tbl>
    <w:p w:rsidR="00915B7F" w:rsidRDefault="00915B7F" w:rsidP="00B71AE9">
      <w:pPr>
        <w:widowControl w:val="0"/>
        <w:autoSpaceDE w:val="0"/>
        <w:autoSpaceDN w:val="0"/>
        <w:adjustRightInd w:val="0"/>
        <w:spacing w:after="120" w:line="240" w:lineRule="auto"/>
        <w:jc w:val="both"/>
        <w:rPr>
          <w:rFonts w:ascii="Arial" w:hAnsi="Arial" w:cs="Arial"/>
          <w:b/>
          <w:sz w:val="18"/>
          <w:szCs w:val="18"/>
        </w:rPr>
      </w:pPr>
    </w:p>
    <w:p w:rsidR="00915B7F" w:rsidRDefault="00915B7F" w:rsidP="00915B7F">
      <w:pPr>
        <w:widowControl w:val="0"/>
        <w:autoSpaceDE w:val="0"/>
        <w:autoSpaceDN w:val="0"/>
        <w:adjustRightInd w:val="0"/>
        <w:spacing w:after="120"/>
        <w:jc w:val="both"/>
        <w:rPr>
          <w:rFonts w:ascii="Times New Roman" w:hAnsi="Times New Roman" w:cs="Times New Roman"/>
          <w:sz w:val="20"/>
          <w:szCs w:val="20"/>
        </w:rPr>
      </w:pPr>
      <w:r>
        <w:rPr>
          <w:rFonts w:ascii="Times New Roman" w:hAnsi="Times New Roman" w:cs="Times New Roman"/>
          <w:sz w:val="20"/>
          <w:szCs w:val="20"/>
        </w:rPr>
        <w:t xml:space="preserve">Las variables monetarias se expresan en dólares constantes. </w:t>
      </w:r>
    </w:p>
    <w:p w:rsidR="00915B7F" w:rsidRDefault="00915B7F" w:rsidP="00B71AE9">
      <w:pPr>
        <w:widowControl w:val="0"/>
        <w:autoSpaceDE w:val="0"/>
        <w:autoSpaceDN w:val="0"/>
        <w:adjustRightInd w:val="0"/>
        <w:spacing w:after="120" w:line="240" w:lineRule="auto"/>
        <w:jc w:val="both"/>
        <w:rPr>
          <w:rFonts w:ascii="Arial" w:hAnsi="Arial" w:cs="Arial"/>
          <w:b/>
          <w:sz w:val="18"/>
          <w:szCs w:val="18"/>
        </w:rPr>
      </w:pPr>
    </w:p>
    <w:p w:rsidR="009F3F52" w:rsidRPr="005D226A" w:rsidRDefault="000626CB" w:rsidP="00B71AE9">
      <w:pPr>
        <w:widowControl w:val="0"/>
        <w:autoSpaceDE w:val="0"/>
        <w:autoSpaceDN w:val="0"/>
        <w:adjustRightInd w:val="0"/>
        <w:spacing w:after="120" w:line="240" w:lineRule="auto"/>
        <w:jc w:val="both"/>
        <w:rPr>
          <w:rFonts w:ascii="Times New Roman" w:hAnsi="Times New Roman" w:cs="Times New Roman"/>
          <w:b/>
          <w:sz w:val="24"/>
          <w:szCs w:val="24"/>
        </w:rPr>
      </w:pPr>
      <w:r w:rsidRPr="008B591B">
        <w:rPr>
          <w:rFonts w:ascii="Arial" w:hAnsi="Arial" w:cs="Arial"/>
          <w:b/>
          <w:sz w:val="18"/>
          <w:szCs w:val="18"/>
        </w:rPr>
        <w:t>Aplicación</w:t>
      </w:r>
      <w:r w:rsidR="00666F89" w:rsidRPr="008B591B">
        <w:rPr>
          <w:rFonts w:ascii="Arial" w:hAnsi="Arial" w:cs="Arial"/>
          <w:b/>
          <w:sz w:val="18"/>
          <w:szCs w:val="18"/>
        </w:rPr>
        <w:t xml:space="preserve"> al </w:t>
      </w:r>
      <w:r w:rsidR="009F3F52" w:rsidRPr="008B591B">
        <w:rPr>
          <w:rFonts w:ascii="Arial" w:hAnsi="Arial" w:cs="Arial"/>
          <w:b/>
          <w:sz w:val="18"/>
          <w:szCs w:val="18"/>
        </w:rPr>
        <w:t xml:space="preserve">Modelo de </w:t>
      </w:r>
      <w:proofErr w:type="spellStart"/>
      <w:r w:rsidR="009F3F52" w:rsidRPr="008B591B">
        <w:rPr>
          <w:rFonts w:ascii="Arial" w:hAnsi="Arial" w:cs="Arial"/>
          <w:b/>
          <w:sz w:val="18"/>
          <w:szCs w:val="18"/>
        </w:rPr>
        <w:t>Baranes</w:t>
      </w:r>
      <w:proofErr w:type="spellEnd"/>
      <w:r w:rsidR="009F3F52" w:rsidRPr="008B591B">
        <w:rPr>
          <w:rFonts w:ascii="Arial" w:hAnsi="Arial" w:cs="Arial"/>
          <w:b/>
          <w:sz w:val="18"/>
          <w:szCs w:val="18"/>
        </w:rPr>
        <w:t xml:space="preserve"> et al</w:t>
      </w:r>
      <w:r w:rsidR="007F2503" w:rsidRPr="005D226A">
        <w:rPr>
          <w:rStyle w:val="Refdenotaalpie"/>
          <w:rFonts w:ascii="Times New Roman" w:hAnsi="Times New Roman" w:cs="Times New Roman"/>
          <w:b/>
          <w:sz w:val="24"/>
          <w:szCs w:val="24"/>
        </w:rPr>
        <w:footnoteReference w:id="12"/>
      </w:r>
      <w:r w:rsidR="009F3F52" w:rsidRPr="005D226A">
        <w:rPr>
          <w:rFonts w:ascii="Times New Roman" w:hAnsi="Times New Roman" w:cs="Times New Roman"/>
          <w:b/>
          <w:sz w:val="24"/>
          <w:szCs w:val="24"/>
        </w:rPr>
        <w:t xml:space="preserve"> </w:t>
      </w:r>
    </w:p>
    <w:p w:rsidR="004D33B6" w:rsidRPr="005D226A" w:rsidRDefault="009F3F52" w:rsidP="00B71AE9">
      <w:pPr>
        <w:widowControl w:val="0"/>
        <w:autoSpaceDE w:val="0"/>
        <w:autoSpaceDN w:val="0"/>
        <w:adjustRightInd w:val="0"/>
        <w:spacing w:after="120" w:line="240" w:lineRule="auto"/>
        <w:jc w:val="both"/>
        <w:rPr>
          <w:rFonts w:ascii="Times New Roman" w:hAnsi="Times New Roman" w:cs="Times New Roman"/>
          <w:sz w:val="24"/>
          <w:szCs w:val="24"/>
        </w:rPr>
      </w:pPr>
      <w:proofErr w:type="spellStart"/>
      <w:r w:rsidRPr="008B591B">
        <w:rPr>
          <w:rFonts w:ascii="Times New Roman" w:hAnsi="Times New Roman" w:cs="Times New Roman"/>
          <w:sz w:val="20"/>
          <w:szCs w:val="20"/>
        </w:rPr>
        <w:t>Baranes</w:t>
      </w:r>
      <w:proofErr w:type="spellEnd"/>
      <w:r w:rsidRPr="008B591B">
        <w:rPr>
          <w:rFonts w:ascii="Times New Roman" w:hAnsi="Times New Roman" w:cs="Times New Roman"/>
          <w:sz w:val="20"/>
          <w:szCs w:val="20"/>
        </w:rPr>
        <w:t xml:space="preserve"> et al (2011</w:t>
      </w:r>
      <w:r w:rsidR="00236DDE" w:rsidRPr="008B591B">
        <w:rPr>
          <w:rFonts w:ascii="Times New Roman" w:hAnsi="Times New Roman" w:cs="Times New Roman"/>
          <w:sz w:val="20"/>
          <w:szCs w:val="20"/>
        </w:rPr>
        <w:t>a</w:t>
      </w:r>
      <w:r w:rsidR="0009772B" w:rsidRPr="008B591B">
        <w:rPr>
          <w:rFonts w:ascii="Times New Roman" w:hAnsi="Times New Roman" w:cs="Times New Roman"/>
          <w:sz w:val="20"/>
          <w:szCs w:val="20"/>
        </w:rPr>
        <w:t xml:space="preserve"> y b</w:t>
      </w:r>
      <w:r w:rsidRPr="008B591B">
        <w:rPr>
          <w:rFonts w:ascii="Times New Roman" w:hAnsi="Times New Roman" w:cs="Times New Roman"/>
          <w:sz w:val="20"/>
          <w:szCs w:val="20"/>
        </w:rPr>
        <w:t xml:space="preserve">) establecen que </w:t>
      </w:r>
      <w:r w:rsidR="000626CB" w:rsidRPr="008B591B">
        <w:rPr>
          <w:rFonts w:ascii="Times New Roman" w:hAnsi="Times New Roman" w:cs="Times New Roman"/>
          <w:sz w:val="20"/>
          <w:szCs w:val="20"/>
        </w:rPr>
        <w:t xml:space="preserve">el desempeño de un operador en </w:t>
      </w:r>
      <w:r w:rsidR="00B22157" w:rsidRPr="008B591B">
        <w:rPr>
          <w:rFonts w:ascii="Times New Roman" w:hAnsi="Times New Roman" w:cs="Times New Roman"/>
          <w:sz w:val="20"/>
          <w:szCs w:val="20"/>
        </w:rPr>
        <w:t>un periodo</w:t>
      </w:r>
      <w:r w:rsidRPr="008B591B">
        <w:rPr>
          <w:rFonts w:ascii="Times New Roman" w:hAnsi="Times New Roman" w:cs="Times New Roman"/>
          <w:sz w:val="20"/>
          <w:szCs w:val="20"/>
        </w:rPr>
        <w:t xml:space="preserve"> depende de </w:t>
      </w:r>
      <w:r w:rsidR="000626CB" w:rsidRPr="008B591B">
        <w:rPr>
          <w:rFonts w:ascii="Times New Roman" w:hAnsi="Times New Roman" w:cs="Times New Roman"/>
          <w:sz w:val="20"/>
          <w:szCs w:val="20"/>
        </w:rPr>
        <w:t xml:space="preserve">su desempeño en </w:t>
      </w:r>
      <w:r w:rsidRPr="008B591B">
        <w:rPr>
          <w:rFonts w:ascii="Times New Roman" w:hAnsi="Times New Roman" w:cs="Times New Roman"/>
          <w:sz w:val="20"/>
          <w:szCs w:val="20"/>
        </w:rPr>
        <w:t xml:space="preserve">los periodos inmediatos anteriores, </w:t>
      </w:r>
      <w:r w:rsidR="000626CB" w:rsidRPr="008B591B">
        <w:rPr>
          <w:rFonts w:ascii="Times New Roman" w:hAnsi="Times New Roman" w:cs="Times New Roman"/>
          <w:sz w:val="20"/>
          <w:szCs w:val="20"/>
        </w:rPr>
        <w:t xml:space="preserve"> y </w:t>
      </w:r>
      <w:r w:rsidRPr="008B591B">
        <w:rPr>
          <w:rFonts w:ascii="Times New Roman" w:hAnsi="Times New Roman" w:cs="Times New Roman"/>
          <w:sz w:val="20"/>
          <w:szCs w:val="20"/>
        </w:rPr>
        <w:t>de la po</w:t>
      </w:r>
      <w:r w:rsidR="000626CB" w:rsidRPr="008B591B">
        <w:rPr>
          <w:rFonts w:ascii="Times New Roman" w:hAnsi="Times New Roman" w:cs="Times New Roman"/>
          <w:sz w:val="20"/>
          <w:szCs w:val="20"/>
        </w:rPr>
        <w:t>lítica regulatoria</w:t>
      </w:r>
      <w:r w:rsidRPr="005D226A">
        <w:rPr>
          <w:rFonts w:ascii="Times New Roman" w:hAnsi="Times New Roman" w:cs="Times New Roman"/>
          <w:sz w:val="24"/>
          <w:szCs w:val="24"/>
        </w:rPr>
        <w:t xml:space="preserve">. </w:t>
      </w:r>
    </w:p>
    <w:p w:rsidR="009F3F52" w:rsidRPr="008B591B" w:rsidRDefault="0026031C" w:rsidP="00B71AE9">
      <w:pPr>
        <w:widowControl w:val="0"/>
        <w:autoSpaceDE w:val="0"/>
        <w:autoSpaceDN w:val="0"/>
        <w:adjustRightInd w:val="0"/>
        <w:spacing w:after="120" w:line="240" w:lineRule="auto"/>
        <w:jc w:val="both"/>
        <w:rPr>
          <w:rFonts w:ascii="Times New Roman" w:eastAsiaTheme="minorEastAsia" w:hAnsi="Times New Roman"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PER</m:t>
            </m:r>
          </m:e>
          <m:sub>
            <m:r>
              <m:rPr>
                <m:sty m:val="p"/>
              </m:rPr>
              <w:rPr>
                <w:rFonts w:ascii="Cambria Math" w:hAnsi="Cambria Math" w:cs="Times New Roman"/>
                <w:sz w:val="20"/>
                <w:szCs w:val="20"/>
              </w:rPr>
              <m:t>it</m:t>
            </m:r>
          </m:sub>
          <m:sup>
            <m:r>
              <m:rPr>
                <m:sty m:val="p"/>
              </m:rPr>
              <w:rPr>
                <w:rFonts w:ascii="Cambria Math" w:hAnsi="Cambria Math" w:cs="Times New Roman"/>
                <w:sz w:val="20"/>
                <w:szCs w:val="20"/>
              </w:rPr>
              <m:t>p</m:t>
            </m:r>
          </m:sup>
        </m:sSubSup>
      </m:oMath>
      <w:r w:rsidR="009F3F52" w:rsidRPr="008B591B">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sz w:val="20"/>
                <w:szCs w:val="20"/>
              </w:rPr>
            </m:ctrlPr>
          </m:sSubPr>
          <m:e>
            <m:r>
              <m:rPr>
                <m:sty m:val="p"/>
              </m:rPr>
              <w:rPr>
                <w:rFonts w:ascii="Cambria Math" w:eastAsiaTheme="minorEastAsia" w:hAnsi="Cambria Math" w:cs="Times New Roman"/>
                <w:sz w:val="20"/>
                <w:szCs w:val="20"/>
              </w:rPr>
              <m:t>a</m:t>
            </m:r>
          </m:e>
          <m:sub>
            <m:r>
              <m:rPr>
                <m:sty m:val="p"/>
              </m:rPr>
              <w:rPr>
                <w:rFonts w:ascii="Cambria Math" w:eastAsiaTheme="minorEastAsia" w:hAnsi="Cambria Math" w:cs="Times New Roman"/>
                <w:sz w:val="20"/>
                <w:szCs w:val="20"/>
              </w:rPr>
              <m:t>o+</m:t>
            </m:r>
          </m:sub>
        </m:sSub>
        <m:r>
          <m:rPr>
            <m:sty m:val="p"/>
          </m:rPr>
          <w:rPr>
            <w:rFonts w:ascii="Cambria Math" w:eastAsiaTheme="minorEastAsia" w:hAnsi="Cambria Math" w:cs="Times New Roman"/>
            <w:sz w:val="20"/>
            <w:szCs w:val="20"/>
          </w:rPr>
          <m:t xml:space="preserve"> </m:t>
        </m:r>
        <m:sSub>
          <m:sSubPr>
            <m:ctrlPr>
              <w:rPr>
                <w:rFonts w:ascii="Cambria Math" w:eastAsiaTheme="minorEastAsia" w:hAnsi="Cambria Math" w:cs="Times New Roman"/>
                <w:sz w:val="20"/>
                <w:szCs w:val="20"/>
              </w:rPr>
            </m:ctrlPr>
          </m:sSubPr>
          <m:e>
            <m:r>
              <m:rPr>
                <m:sty m:val="p"/>
              </m:rPr>
              <w:rPr>
                <w:rFonts w:ascii="Cambria Math" w:eastAsiaTheme="minorEastAsia" w:hAnsi="Cambria Math" w:cs="Times New Roman"/>
                <w:sz w:val="20"/>
                <w:szCs w:val="20"/>
              </w:rPr>
              <m:t>b</m:t>
            </m:r>
          </m:e>
          <m:sub>
            <m:r>
              <m:rPr>
                <m:sty m:val="p"/>
              </m:rPr>
              <w:rPr>
                <w:rFonts w:ascii="Cambria Math" w:eastAsiaTheme="minorEastAsia" w:hAnsi="Cambria Math" w:cs="Times New Roman"/>
                <w:sz w:val="20"/>
                <w:szCs w:val="20"/>
              </w:rPr>
              <m:t>1</m:t>
            </m:r>
          </m:sub>
        </m:sSub>
        <m:sSubSup>
          <m:sSubSupPr>
            <m:ctrlPr>
              <w:rPr>
                <w:rFonts w:ascii="Cambria Math" w:eastAsiaTheme="minorEastAsia" w:hAnsi="Cambria Math" w:cs="Times New Roman"/>
                <w:sz w:val="20"/>
                <w:szCs w:val="20"/>
              </w:rPr>
            </m:ctrlPr>
          </m:sSubSupPr>
          <m:e>
            <m:r>
              <m:rPr>
                <m:sty m:val="p"/>
              </m:rPr>
              <w:rPr>
                <w:rFonts w:ascii="Cambria Math" w:eastAsiaTheme="minorEastAsia" w:hAnsi="Cambria Math" w:cs="Times New Roman"/>
                <w:sz w:val="20"/>
                <w:szCs w:val="20"/>
              </w:rPr>
              <m:t>PER</m:t>
            </m:r>
          </m:e>
          <m:sub>
            <m:r>
              <m:rPr>
                <m:sty m:val="p"/>
              </m:rPr>
              <w:rPr>
                <w:rFonts w:ascii="Cambria Math" w:eastAsiaTheme="minorEastAsia" w:hAnsi="Cambria Math" w:cs="Times New Roman"/>
                <w:sz w:val="20"/>
                <w:szCs w:val="20"/>
              </w:rPr>
              <m:t>i,t-1</m:t>
            </m:r>
          </m:sub>
          <m:sup>
            <m:r>
              <m:rPr>
                <m:sty m:val="p"/>
              </m:rPr>
              <w:rPr>
                <w:rFonts w:ascii="Cambria Math" w:eastAsiaTheme="minorEastAsia" w:hAnsi="Cambria Math" w:cs="Times New Roman"/>
                <w:sz w:val="20"/>
                <w:szCs w:val="20"/>
              </w:rPr>
              <m:t>p</m:t>
            </m:r>
          </m:sup>
        </m:sSubSup>
        <m:r>
          <m:rPr>
            <m:sty m:val="p"/>
          </m:rPr>
          <w:rPr>
            <w:rFonts w:ascii="Cambria Math" w:eastAsiaTheme="minorEastAsia" w:hAnsi="Cambria Math" w:cs="Times New Roman"/>
            <w:sz w:val="20"/>
            <w:szCs w:val="20"/>
          </w:rPr>
          <m:t>+</m:t>
        </m:r>
        <m:sSub>
          <m:sSubPr>
            <m:ctrlPr>
              <w:rPr>
                <w:rFonts w:ascii="Cambria Math" w:eastAsiaTheme="minorEastAsia" w:hAnsi="Cambria Math" w:cs="Times New Roman"/>
                <w:sz w:val="20"/>
                <w:szCs w:val="20"/>
              </w:rPr>
            </m:ctrlPr>
          </m:sSubPr>
          <m:e>
            <m:r>
              <m:rPr>
                <m:sty m:val="p"/>
              </m:rPr>
              <w:rPr>
                <w:rFonts w:ascii="Cambria Math" w:eastAsiaTheme="minorEastAsia" w:hAnsi="Cambria Math" w:cs="Times New Roman"/>
                <w:sz w:val="20"/>
                <w:szCs w:val="20"/>
              </w:rPr>
              <m:t>b</m:t>
            </m:r>
          </m:e>
          <m:sub>
            <m:r>
              <m:rPr>
                <m:sty m:val="p"/>
              </m:rPr>
              <w:rPr>
                <w:rFonts w:ascii="Cambria Math" w:eastAsiaTheme="minorEastAsia" w:hAnsi="Cambria Math" w:cs="Times New Roman"/>
                <w:sz w:val="20"/>
                <w:szCs w:val="20"/>
              </w:rPr>
              <m:t>2</m:t>
            </m:r>
          </m:sub>
        </m:sSub>
        <m:sSubSup>
          <m:sSubSupPr>
            <m:ctrlPr>
              <w:rPr>
                <w:rFonts w:ascii="Cambria Math" w:eastAsiaTheme="minorEastAsia" w:hAnsi="Cambria Math" w:cs="Times New Roman"/>
                <w:sz w:val="20"/>
                <w:szCs w:val="20"/>
              </w:rPr>
            </m:ctrlPr>
          </m:sSubSupPr>
          <m:e>
            <m:r>
              <m:rPr>
                <m:sty m:val="p"/>
              </m:rPr>
              <w:rPr>
                <w:rFonts w:ascii="Cambria Math" w:eastAsiaTheme="minorEastAsia" w:hAnsi="Cambria Math" w:cs="Times New Roman"/>
                <w:sz w:val="20"/>
                <w:szCs w:val="20"/>
              </w:rPr>
              <m:t>PER</m:t>
            </m:r>
          </m:e>
          <m:sub>
            <m:r>
              <m:rPr>
                <m:sty m:val="p"/>
              </m:rPr>
              <w:rPr>
                <w:rFonts w:ascii="Cambria Math" w:eastAsiaTheme="minorEastAsia" w:hAnsi="Cambria Math" w:cs="Times New Roman"/>
                <w:sz w:val="20"/>
                <w:szCs w:val="20"/>
              </w:rPr>
              <m:t xml:space="preserve">it  </m:t>
            </m:r>
          </m:sub>
          <m:sup>
            <m:r>
              <m:rPr>
                <m:sty m:val="p"/>
              </m:rPr>
              <w:rPr>
                <w:rFonts w:ascii="Cambria Math" w:eastAsiaTheme="minorEastAsia" w:hAnsi="Cambria Math" w:cs="Times New Roman"/>
                <w:sz w:val="20"/>
                <w:szCs w:val="20"/>
              </w:rPr>
              <m:t>q</m:t>
            </m:r>
          </m:sup>
        </m:sSubSup>
        <m:r>
          <m:rPr>
            <m:sty m:val="p"/>
          </m:rPr>
          <w:rPr>
            <w:rFonts w:ascii="Cambria Math" w:eastAsiaTheme="minorEastAsia" w:hAnsi="Cambria Math" w:cs="Times New Roman"/>
            <w:sz w:val="20"/>
            <w:szCs w:val="20"/>
          </w:rPr>
          <m:t>+</m:t>
        </m:r>
        <m:sSub>
          <m:sSubPr>
            <m:ctrlPr>
              <w:rPr>
                <w:rFonts w:ascii="Cambria Math" w:eastAsiaTheme="minorEastAsia" w:hAnsi="Cambria Math" w:cs="Times New Roman"/>
                <w:sz w:val="20"/>
                <w:szCs w:val="20"/>
              </w:rPr>
            </m:ctrlPr>
          </m:sSubPr>
          <m:e>
            <m:r>
              <m:rPr>
                <m:sty m:val="p"/>
              </m:rPr>
              <w:rPr>
                <w:rFonts w:ascii="Cambria Math" w:eastAsiaTheme="minorEastAsia" w:hAnsi="Cambria Math" w:cs="Times New Roman"/>
                <w:sz w:val="20"/>
                <w:szCs w:val="20"/>
              </w:rPr>
              <m:t>b</m:t>
            </m:r>
          </m:e>
          <m:sub>
            <m:r>
              <m:rPr>
                <m:sty m:val="p"/>
              </m:rPr>
              <w:rPr>
                <w:rFonts w:ascii="Cambria Math" w:eastAsiaTheme="minorEastAsia" w:hAnsi="Cambria Math" w:cs="Times New Roman"/>
                <w:sz w:val="20"/>
                <w:szCs w:val="20"/>
              </w:rPr>
              <m:t>3</m:t>
            </m:r>
          </m:sub>
        </m:sSub>
        <m:r>
          <m:rPr>
            <m:sty m:val="p"/>
          </m:rPr>
          <w:rPr>
            <w:rFonts w:ascii="Cambria Math" w:eastAsiaTheme="minorEastAsia" w:hAnsi="Cambria Math" w:cs="Times New Roman"/>
            <w:sz w:val="20"/>
            <w:szCs w:val="20"/>
          </w:rPr>
          <m:t xml:space="preserve"> </m:t>
        </m:r>
        <m:sSubSup>
          <m:sSubSupPr>
            <m:ctrlPr>
              <w:rPr>
                <w:rFonts w:ascii="Cambria Math" w:eastAsiaTheme="minorEastAsia" w:hAnsi="Cambria Math" w:cs="Times New Roman"/>
                <w:sz w:val="20"/>
                <w:szCs w:val="20"/>
              </w:rPr>
            </m:ctrlPr>
          </m:sSubSupPr>
          <m:e>
            <m:r>
              <m:rPr>
                <m:sty m:val="p"/>
              </m:rPr>
              <w:rPr>
                <w:rFonts w:ascii="Cambria Math" w:eastAsiaTheme="minorEastAsia" w:hAnsi="Cambria Math" w:cs="Times New Roman"/>
                <w:sz w:val="20"/>
                <w:szCs w:val="20"/>
              </w:rPr>
              <m:t>PER</m:t>
            </m:r>
          </m:e>
          <m:sub>
            <m:r>
              <m:rPr>
                <m:sty m:val="p"/>
              </m:rPr>
              <w:rPr>
                <w:rFonts w:ascii="Cambria Math" w:eastAsiaTheme="minorEastAsia" w:hAnsi="Cambria Math" w:cs="Times New Roman"/>
                <w:sz w:val="20"/>
                <w:szCs w:val="20"/>
              </w:rPr>
              <m:t xml:space="preserve">i,t-1 </m:t>
            </m:r>
          </m:sub>
          <m:sup>
            <m:r>
              <m:rPr>
                <m:sty m:val="p"/>
              </m:rPr>
              <w:rPr>
                <w:rFonts w:ascii="Cambria Math" w:eastAsiaTheme="minorEastAsia" w:hAnsi="Cambria Math" w:cs="Times New Roman"/>
                <w:sz w:val="20"/>
                <w:szCs w:val="20"/>
              </w:rPr>
              <m:t>q</m:t>
            </m:r>
          </m:sup>
        </m:sSubSup>
        <m:r>
          <m:rPr>
            <m:sty m:val="p"/>
          </m:rPr>
          <w:rPr>
            <w:rFonts w:ascii="Cambria Math" w:eastAsiaTheme="minorEastAsia" w:hAnsi="Cambria Math" w:cs="Times New Roman"/>
            <w:sz w:val="20"/>
            <w:szCs w:val="20"/>
          </w:rPr>
          <m:t>+</m:t>
        </m:r>
        <m:sSub>
          <m:sSubPr>
            <m:ctrlPr>
              <w:rPr>
                <w:rFonts w:ascii="Cambria Math" w:eastAsiaTheme="minorEastAsia" w:hAnsi="Cambria Math" w:cs="Times New Roman"/>
                <w:sz w:val="20"/>
                <w:szCs w:val="20"/>
              </w:rPr>
            </m:ctrlPr>
          </m:sSubPr>
          <m:e>
            <m:r>
              <m:rPr>
                <m:sty m:val="p"/>
              </m:rPr>
              <w:rPr>
                <w:rFonts w:ascii="Cambria Math" w:eastAsiaTheme="minorEastAsia" w:hAnsi="Cambria Math" w:cs="Times New Roman"/>
                <w:sz w:val="20"/>
                <w:szCs w:val="20"/>
              </w:rPr>
              <m:t>b</m:t>
            </m:r>
          </m:e>
          <m:sub>
            <m:r>
              <m:rPr>
                <m:sty m:val="p"/>
              </m:rPr>
              <w:rPr>
                <w:rFonts w:ascii="Cambria Math" w:eastAsiaTheme="minorEastAsia" w:hAnsi="Cambria Math" w:cs="Times New Roman"/>
                <w:sz w:val="20"/>
                <w:szCs w:val="20"/>
              </w:rPr>
              <m:t xml:space="preserve">4 </m:t>
            </m:r>
          </m:sub>
        </m:sSub>
        <m:sSub>
          <m:sSubPr>
            <m:ctrlPr>
              <w:rPr>
                <w:rFonts w:ascii="Cambria Math" w:eastAsiaTheme="minorEastAsia" w:hAnsi="Cambria Math" w:cs="Times New Roman"/>
                <w:sz w:val="20"/>
                <w:szCs w:val="20"/>
              </w:rPr>
            </m:ctrlPr>
          </m:sSubPr>
          <m:e>
            <m:r>
              <m:rPr>
                <m:sty m:val="p"/>
              </m:rPr>
              <w:rPr>
                <w:rFonts w:ascii="Cambria Math" w:eastAsiaTheme="minorEastAsia" w:hAnsi="Cambria Math" w:cs="Times New Roman"/>
                <w:sz w:val="20"/>
                <w:szCs w:val="20"/>
              </w:rPr>
              <m:t>TTM</m:t>
            </m:r>
          </m:e>
          <m:sub>
            <m:r>
              <m:rPr>
                <m:sty m:val="p"/>
              </m:rPr>
              <w:rPr>
                <w:rFonts w:ascii="Cambria Math" w:eastAsiaTheme="minorEastAsia" w:hAnsi="Cambria Math" w:cs="Times New Roman"/>
                <w:sz w:val="20"/>
                <w:szCs w:val="20"/>
              </w:rPr>
              <m:t>i,t</m:t>
            </m:r>
          </m:sub>
        </m:sSub>
        <m:r>
          <m:rPr>
            <m:sty m:val="p"/>
          </m:rPr>
          <w:rPr>
            <w:rFonts w:ascii="Cambria Math" w:eastAsiaTheme="minorEastAsia" w:hAnsi="Cambria Math" w:cs="Times New Roman"/>
            <w:sz w:val="20"/>
            <w:szCs w:val="20"/>
          </w:rPr>
          <m:t>+</m:t>
        </m:r>
        <m:sSub>
          <m:sSubPr>
            <m:ctrlPr>
              <w:rPr>
                <w:rFonts w:ascii="Cambria Math" w:eastAsiaTheme="minorEastAsia" w:hAnsi="Cambria Math" w:cs="Times New Roman"/>
                <w:sz w:val="20"/>
                <w:szCs w:val="20"/>
              </w:rPr>
            </m:ctrlPr>
          </m:sSubPr>
          <m:e>
            <m:r>
              <m:rPr>
                <m:sty m:val="p"/>
              </m:rPr>
              <w:rPr>
                <w:rFonts w:ascii="Cambria Math" w:eastAsiaTheme="minorEastAsia" w:hAnsi="Cambria Math" w:cs="Times New Roman"/>
                <w:sz w:val="20"/>
                <w:szCs w:val="20"/>
              </w:rPr>
              <m:t>b</m:t>
            </m:r>
          </m:e>
          <m:sub>
            <m:r>
              <m:rPr>
                <m:sty m:val="p"/>
              </m:rPr>
              <w:rPr>
                <w:rFonts w:ascii="Cambria Math" w:eastAsiaTheme="minorEastAsia" w:hAnsi="Cambria Math" w:cs="Times New Roman"/>
                <w:sz w:val="20"/>
                <w:szCs w:val="20"/>
              </w:rPr>
              <m:t xml:space="preserve">5 </m:t>
            </m:r>
          </m:sub>
        </m:sSub>
        <m:r>
          <m:rPr>
            <m:sty m:val="p"/>
          </m:rPr>
          <w:rPr>
            <w:rFonts w:ascii="Cambria Math" w:eastAsiaTheme="minorEastAsia" w:hAnsi="Cambria Math" w:cs="Times New Roman"/>
            <w:sz w:val="20"/>
            <w:szCs w:val="20"/>
          </w:rPr>
          <m:t xml:space="preserve"> </m:t>
        </m:r>
        <m:sSubSup>
          <m:sSubSupPr>
            <m:ctrlPr>
              <w:rPr>
                <w:rFonts w:ascii="Cambria Math" w:eastAsiaTheme="minorEastAsia" w:hAnsi="Cambria Math" w:cs="Times New Roman"/>
                <w:sz w:val="20"/>
                <w:szCs w:val="20"/>
              </w:rPr>
            </m:ctrlPr>
          </m:sSubSupPr>
          <m:e>
            <m:r>
              <m:rPr>
                <m:sty m:val="p"/>
              </m:rPr>
              <w:rPr>
                <w:rFonts w:ascii="Cambria Math" w:eastAsiaTheme="minorEastAsia" w:hAnsi="Cambria Math" w:cs="Times New Roman"/>
                <w:sz w:val="20"/>
                <w:szCs w:val="20"/>
              </w:rPr>
              <m:t>AR</m:t>
            </m:r>
          </m:e>
          <m:sub>
            <m:r>
              <m:rPr>
                <m:sty m:val="p"/>
              </m:rPr>
              <w:rPr>
                <w:rFonts w:ascii="Cambria Math" w:eastAsiaTheme="minorEastAsia" w:hAnsi="Cambria Math" w:cs="Times New Roman"/>
                <w:sz w:val="20"/>
                <w:szCs w:val="20"/>
              </w:rPr>
              <m:t>i,t</m:t>
            </m:r>
          </m:sub>
          <m:sup>
            <m:r>
              <m:rPr>
                <m:sty m:val="p"/>
              </m:rPr>
              <w:rPr>
                <w:rFonts w:ascii="Cambria Math" w:eastAsiaTheme="minorEastAsia" w:hAnsi="Cambria Math" w:cs="Times New Roman"/>
                <w:sz w:val="20"/>
                <w:szCs w:val="20"/>
              </w:rPr>
              <m:t>E/I</m:t>
            </m:r>
          </m:sup>
        </m:sSubSup>
        <m:r>
          <m:rPr>
            <m:sty m:val="p"/>
          </m:rPr>
          <w:rPr>
            <w:rFonts w:ascii="Cambria Math" w:eastAsiaTheme="minorEastAsia" w:hAnsi="Cambria Math" w:cs="Times New Roman"/>
            <w:sz w:val="20"/>
            <w:szCs w:val="20"/>
          </w:rPr>
          <m:t xml:space="preserve">+ </m:t>
        </m:r>
        <m:sSub>
          <m:sSubPr>
            <m:ctrlPr>
              <w:rPr>
                <w:rFonts w:ascii="Cambria Math" w:eastAsiaTheme="minorEastAsia" w:hAnsi="Cambria Math" w:cs="Times New Roman"/>
                <w:sz w:val="20"/>
                <w:szCs w:val="20"/>
              </w:rPr>
            </m:ctrlPr>
          </m:sSubPr>
          <m:e>
            <m:r>
              <m:rPr>
                <m:sty m:val="p"/>
              </m:rPr>
              <w:rPr>
                <w:rFonts w:ascii="Cambria Math" w:eastAsiaTheme="minorEastAsia" w:hAnsi="Cambria Math" w:cs="Times New Roman"/>
                <w:sz w:val="20"/>
                <w:szCs w:val="20"/>
              </w:rPr>
              <m:t>K</m:t>
            </m:r>
          </m:e>
          <m:sub>
            <m:r>
              <m:rPr>
                <m:sty m:val="p"/>
              </m:rPr>
              <w:rPr>
                <w:rFonts w:ascii="Cambria Math" w:eastAsiaTheme="minorEastAsia" w:hAnsi="Cambria Math" w:cs="Times New Roman"/>
                <w:sz w:val="20"/>
                <w:szCs w:val="20"/>
              </w:rPr>
              <m:t>t</m:t>
            </m:r>
          </m:sub>
        </m:sSub>
        <m:r>
          <m:rPr>
            <m:sty m:val="p"/>
          </m:rPr>
          <w:rPr>
            <w:rFonts w:ascii="Cambria Math" w:eastAsiaTheme="minorEastAsia" w:hAnsi="Cambria Math" w:cs="Times New Roman"/>
            <w:sz w:val="20"/>
            <w:szCs w:val="20"/>
          </w:rPr>
          <m:t>+</m:t>
        </m:r>
        <m:sSub>
          <m:sSubPr>
            <m:ctrlPr>
              <w:rPr>
                <w:rFonts w:ascii="Cambria Math" w:eastAsiaTheme="minorEastAsia" w:hAnsi="Cambria Math" w:cs="Times New Roman"/>
                <w:sz w:val="20"/>
                <w:szCs w:val="20"/>
              </w:rPr>
            </m:ctrlPr>
          </m:sSubPr>
          <m:e>
            <m:r>
              <m:rPr>
                <m:sty m:val="p"/>
              </m:rPr>
              <w:rPr>
                <w:rFonts w:ascii="Cambria Math" w:eastAsiaTheme="minorEastAsia" w:hAnsi="Cambria Math" w:cs="Times New Roman"/>
                <w:sz w:val="20"/>
                <w:szCs w:val="20"/>
              </w:rPr>
              <m:t>e</m:t>
            </m:r>
          </m:e>
          <m:sub>
            <m:r>
              <m:rPr>
                <m:sty m:val="p"/>
              </m:rPr>
              <w:rPr>
                <w:rFonts w:ascii="Cambria Math" w:eastAsiaTheme="minorEastAsia" w:hAnsi="Cambria Math" w:cs="Times New Roman"/>
                <w:sz w:val="20"/>
                <w:szCs w:val="20"/>
              </w:rPr>
              <m:t>t</m:t>
            </m:r>
          </m:sub>
        </m:sSub>
      </m:oMath>
    </w:p>
    <w:p w:rsidR="009F3F52" w:rsidRPr="008B591B" w:rsidRDefault="009F3F52" w:rsidP="00B71AE9">
      <w:pPr>
        <w:widowControl w:val="0"/>
        <w:autoSpaceDE w:val="0"/>
        <w:autoSpaceDN w:val="0"/>
        <w:adjustRightInd w:val="0"/>
        <w:spacing w:after="120" w:line="240" w:lineRule="auto"/>
        <w:jc w:val="both"/>
        <w:rPr>
          <w:rFonts w:ascii="Times New Roman" w:eastAsiaTheme="minorEastAsia" w:hAnsi="Times New Roman" w:cs="Times New Roman"/>
          <w:sz w:val="20"/>
          <w:szCs w:val="20"/>
        </w:rPr>
      </w:pPr>
      <w:r w:rsidRPr="008B591B">
        <w:rPr>
          <w:rFonts w:ascii="Times New Roman" w:eastAsiaTheme="minorEastAsia" w:hAnsi="Times New Roman" w:cs="Times New Roman"/>
          <w:sz w:val="20"/>
          <w:szCs w:val="20"/>
        </w:rPr>
        <w:t xml:space="preserve">Donde: </w:t>
      </w:r>
    </w:p>
    <w:p w:rsidR="009F3F52" w:rsidRPr="008B591B" w:rsidRDefault="0026031C" w:rsidP="00B71AE9">
      <w:pPr>
        <w:widowControl w:val="0"/>
        <w:autoSpaceDE w:val="0"/>
        <w:autoSpaceDN w:val="0"/>
        <w:adjustRightInd w:val="0"/>
        <w:spacing w:after="120" w:line="240" w:lineRule="auto"/>
        <w:jc w:val="both"/>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i</m:t>
            </m:r>
          </m:sub>
        </m:sSub>
      </m:oMath>
      <w:r w:rsidR="002825D3" w:rsidRPr="005D226A">
        <w:rPr>
          <w:rFonts w:ascii="Times New Roman" w:eastAsiaTheme="minorEastAsia" w:hAnsi="Times New Roman" w:cs="Times New Roman"/>
          <w:sz w:val="24"/>
          <w:szCs w:val="24"/>
        </w:rPr>
        <w:t xml:space="preserve">     </w:t>
      </w:r>
      <w:r w:rsidR="00DB11B5" w:rsidRPr="005D226A">
        <w:rPr>
          <w:rFonts w:ascii="Times New Roman" w:eastAsiaTheme="minorEastAsia" w:hAnsi="Times New Roman" w:cs="Times New Roman"/>
          <w:sz w:val="24"/>
          <w:szCs w:val="24"/>
        </w:rPr>
        <w:t xml:space="preserve">    </w:t>
      </w:r>
      <w:proofErr w:type="gramStart"/>
      <w:r w:rsidR="009F3F52" w:rsidRPr="008B591B">
        <w:rPr>
          <w:rFonts w:ascii="Times New Roman" w:eastAsiaTheme="minorEastAsia" w:hAnsi="Times New Roman" w:cs="Times New Roman"/>
          <w:sz w:val="20"/>
          <w:szCs w:val="20"/>
        </w:rPr>
        <w:t>los</w:t>
      </w:r>
      <w:proofErr w:type="gramEnd"/>
      <w:r w:rsidR="009F3F52" w:rsidRPr="008B591B">
        <w:rPr>
          <w:rFonts w:ascii="Times New Roman" w:eastAsiaTheme="minorEastAsia" w:hAnsi="Times New Roman" w:cs="Times New Roman"/>
          <w:sz w:val="20"/>
          <w:szCs w:val="20"/>
        </w:rPr>
        <w:t xml:space="preserve"> coeficientes de impacto </w:t>
      </w:r>
    </w:p>
    <w:p w:rsidR="006B7CDA" w:rsidRPr="008B591B" w:rsidRDefault="0026031C" w:rsidP="00B71AE9">
      <w:pPr>
        <w:widowControl w:val="0"/>
        <w:autoSpaceDE w:val="0"/>
        <w:autoSpaceDN w:val="0"/>
        <w:adjustRightInd w:val="0"/>
        <w:spacing w:after="120" w:line="240" w:lineRule="auto"/>
        <w:jc w:val="both"/>
        <w:rPr>
          <w:rFonts w:ascii="Times New Roman" w:eastAsiaTheme="minorEastAsia" w:hAnsi="Times New Roman" w:cs="Times New Roman"/>
          <w:color w:val="0070C0"/>
          <w:sz w:val="20"/>
          <w:szCs w:val="20"/>
        </w:rPr>
      </w:pPr>
      <m:oMath>
        <m:sSubSup>
          <m:sSubSupPr>
            <m:ctrlPr>
              <w:rPr>
                <w:rFonts w:ascii="Cambria Math" w:hAnsi="Cambria Math" w:cs="Times New Roman"/>
                <w:b/>
                <w:sz w:val="20"/>
                <w:szCs w:val="20"/>
              </w:rPr>
            </m:ctrlPr>
          </m:sSubSupPr>
          <m:e>
            <m:r>
              <m:rPr>
                <m:sty m:val="b"/>
              </m:rPr>
              <w:rPr>
                <w:rFonts w:ascii="Cambria Math" w:hAnsi="Cambria Math" w:cs="Times New Roman"/>
                <w:sz w:val="20"/>
                <w:szCs w:val="20"/>
              </w:rPr>
              <m:t>PER</m:t>
            </m:r>
          </m:e>
          <m:sub>
            <m:r>
              <m:rPr>
                <m:sty m:val="b"/>
              </m:rPr>
              <w:rPr>
                <w:rFonts w:ascii="Cambria Math" w:hAnsi="Cambria Math" w:cs="Times New Roman"/>
                <w:sz w:val="20"/>
                <w:szCs w:val="20"/>
              </w:rPr>
              <m:t>it</m:t>
            </m:r>
          </m:sub>
          <m:sup>
            <m:r>
              <m:rPr>
                <m:sty m:val="b"/>
              </m:rPr>
              <w:rPr>
                <w:rFonts w:ascii="Cambria Math" w:hAnsi="Cambria Math" w:cs="Times New Roman"/>
                <w:sz w:val="20"/>
                <w:szCs w:val="20"/>
              </w:rPr>
              <m:t>p</m:t>
            </m:r>
          </m:sup>
        </m:sSubSup>
      </m:oMath>
      <w:r w:rsidR="009F3F52" w:rsidRPr="008B591B">
        <w:rPr>
          <w:rFonts w:ascii="Times New Roman" w:eastAsiaTheme="minorEastAsia" w:hAnsi="Times New Roman" w:cs="Times New Roman"/>
          <w:b/>
          <w:sz w:val="20"/>
          <w:szCs w:val="20"/>
        </w:rPr>
        <w:tab/>
      </w:r>
      <w:proofErr w:type="gramStart"/>
      <w:r w:rsidR="009F3F52" w:rsidRPr="008B591B">
        <w:rPr>
          <w:rFonts w:ascii="Times New Roman" w:eastAsiaTheme="minorEastAsia" w:hAnsi="Times New Roman" w:cs="Times New Roman"/>
          <w:b/>
          <w:sz w:val="20"/>
          <w:szCs w:val="20"/>
        </w:rPr>
        <w:t>y</w:t>
      </w:r>
      <w:proofErr w:type="gramEnd"/>
      <w:r w:rsidR="009F3F52" w:rsidRPr="008B591B">
        <w:rPr>
          <w:rFonts w:ascii="Times New Roman" w:eastAsiaTheme="minorEastAsia" w:hAnsi="Times New Roman" w:cs="Times New Roman"/>
          <w:b/>
          <w:sz w:val="20"/>
          <w:szCs w:val="20"/>
        </w:rPr>
        <w:t xml:space="preserve"> </w:t>
      </w:r>
      <m:oMath>
        <m:sSubSup>
          <m:sSubSupPr>
            <m:ctrlPr>
              <w:rPr>
                <w:rFonts w:ascii="Cambria Math" w:eastAsiaTheme="minorEastAsia" w:hAnsi="Cambria Math" w:cs="Times New Roman"/>
                <w:b/>
                <w:sz w:val="20"/>
                <w:szCs w:val="20"/>
              </w:rPr>
            </m:ctrlPr>
          </m:sSubSupPr>
          <m:e>
            <m:r>
              <m:rPr>
                <m:sty m:val="b"/>
              </m:rPr>
              <w:rPr>
                <w:rFonts w:ascii="Cambria Math" w:eastAsiaTheme="minorEastAsia" w:hAnsi="Cambria Math" w:cs="Times New Roman"/>
                <w:sz w:val="20"/>
                <w:szCs w:val="20"/>
              </w:rPr>
              <m:t>PER</m:t>
            </m:r>
          </m:e>
          <m:sub>
            <m:r>
              <m:rPr>
                <m:sty m:val="b"/>
              </m:rPr>
              <w:rPr>
                <w:rFonts w:ascii="Cambria Math" w:eastAsiaTheme="minorEastAsia" w:hAnsi="Cambria Math" w:cs="Times New Roman"/>
                <w:sz w:val="20"/>
                <w:szCs w:val="20"/>
              </w:rPr>
              <m:t xml:space="preserve">it  </m:t>
            </m:r>
          </m:sub>
          <m:sup>
            <m:r>
              <m:rPr>
                <m:sty m:val="b"/>
              </m:rPr>
              <w:rPr>
                <w:rFonts w:ascii="Cambria Math" w:eastAsiaTheme="minorEastAsia" w:hAnsi="Cambria Math" w:cs="Times New Roman"/>
                <w:sz w:val="20"/>
                <w:szCs w:val="20"/>
              </w:rPr>
              <m:t>q</m:t>
            </m:r>
          </m:sup>
        </m:sSubSup>
      </m:oMath>
      <w:r w:rsidR="009F3F52" w:rsidRPr="005D226A">
        <w:rPr>
          <w:rFonts w:ascii="Times New Roman" w:eastAsiaTheme="minorEastAsia" w:hAnsi="Times New Roman" w:cs="Times New Roman"/>
          <w:sz w:val="24"/>
          <w:szCs w:val="24"/>
        </w:rPr>
        <w:t xml:space="preserve"> </w:t>
      </w:r>
      <w:r w:rsidR="009F3F52" w:rsidRPr="008B591B">
        <w:rPr>
          <w:rFonts w:ascii="Times New Roman" w:eastAsiaTheme="minorEastAsia" w:hAnsi="Times New Roman" w:cs="Times New Roman"/>
          <w:sz w:val="20"/>
          <w:szCs w:val="20"/>
        </w:rPr>
        <w:t>denotan el desempeño del operado</w:t>
      </w:r>
      <w:r w:rsidR="00967509" w:rsidRPr="008B591B">
        <w:rPr>
          <w:rFonts w:ascii="Times New Roman" w:eastAsiaTheme="minorEastAsia" w:hAnsi="Times New Roman" w:cs="Times New Roman"/>
          <w:sz w:val="20"/>
          <w:szCs w:val="20"/>
        </w:rPr>
        <w:t xml:space="preserve">r </w:t>
      </w:r>
      <m:oMath>
        <m:r>
          <w:rPr>
            <w:rFonts w:ascii="Cambria Math" w:hAnsi="Cambria Math" w:cs="Times New Roman"/>
            <w:sz w:val="20"/>
            <w:szCs w:val="20"/>
          </w:rPr>
          <m:t>i</m:t>
        </m:r>
      </m:oMath>
      <w:r w:rsidR="00967509" w:rsidRPr="008B591B">
        <w:rPr>
          <w:rFonts w:ascii="Times New Roman" w:eastAsiaTheme="minorEastAsia" w:hAnsi="Times New Roman" w:cs="Times New Roman"/>
          <w:sz w:val="20"/>
          <w:szCs w:val="20"/>
        </w:rPr>
        <w:t xml:space="preserve"> en el periodo </w:t>
      </w:r>
      <m:oMath>
        <m:r>
          <w:rPr>
            <w:rFonts w:ascii="Cambria Math" w:eastAsiaTheme="minorEastAsia" w:hAnsi="Cambria Math" w:cs="Times New Roman"/>
            <w:sz w:val="20"/>
            <w:szCs w:val="20"/>
          </w:rPr>
          <m:t>t,</m:t>
        </m:r>
      </m:oMath>
      <w:r w:rsidR="00967509" w:rsidRPr="008B591B">
        <w:rPr>
          <w:rFonts w:ascii="Times New Roman" w:eastAsiaTheme="minorEastAsia" w:hAnsi="Times New Roman" w:cs="Times New Roman"/>
          <w:sz w:val="20"/>
          <w:szCs w:val="20"/>
        </w:rPr>
        <w:t xml:space="preserve"> </w:t>
      </w:r>
      <w:r w:rsidR="009F3F52" w:rsidRPr="008B591B">
        <w:rPr>
          <w:rFonts w:ascii="Times New Roman" w:eastAsiaTheme="minorEastAsia" w:hAnsi="Times New Roman" w:cs="Times New Roman"/>
          <w:sz w:val="20"/>
          <w:szCs w:val="20"/>
        </w:rPr>
        <w:t xml:space="preserve">medido indistintamente por su rentabilidad </w:t>
      </w:r>
      <w:r w:rsidR="00B22157" w:rsidRPr="008B591B">
        <w:rPr>
          <w:rFonts w:ascii="Times New Roman" w:eastAsiaTheme="minorEastAsia" w:hAnsi="Times New Roman" w:cs="Times New Roman"/>
          <w:sz w:val="20"/>
          <w:szCs w:val="20"/>
        </w:rPr>
        <w:t>(</w:t>
      </w:r>
      <w:r w:rsidR="00743C2B" w:rsidRPr="008B591B">
        <w:rPr>
          <w:rFonts w:ascii="Times New Roman" w:eastAsiaTheme="minorEastAsia" w:hAnsi="Times New Roman" w:cs="Times New Roman"/>
          <w:sz w:val="20"/>
          <w:szCs w:val="20"/>
        </w:rPr>
        <w:t>M</w:t>
      </w:r>
      <w:r w:rsidR="0076619D" w:rsidRPr="008B591B">
        <w:rPr>
          <w:rFonts w:ascii="Times New Roman" w:eastAsiaTheme="minorEastAsia" w:hAnsi="Times New Roman" w:cs="Times New Roman"/>
          <w:sz w:val="20"/>
          <w:szCs w:val="20"/>
        </w:rPr>
        <w:t xml:space="preserve">argen </w:t>
      </w:r>
      <w:proofErr w:type="spellStart"/>
      <w:r w:rsidR="00743C2B" w:rsidRPr="008B591B">
        <w:rPr>
          <w:rFonts w:ascii="Times New Roman" w:eastAsiaTheme="minorEastAsia" w:hAnsi="Times New Roman" w:cs="Times New Roman"/>
          <w:sz w:val="20"/>
          <w:szCs w:val="20"/>
        </w:rPr>
        <w:t>Ebitda</w:t>
      </w:r>
      <w:proofErr w:type="spellEnd"/>
      <w:r w:rsidR="006B7CDA" w:rsidRPr="008B591B">
        <w:rPr>
          <w:rFonts w:ascii="Times New Roman" w:eastAsiaTheme="minorEastAsia" w:hAnsi="Times New Roman" w:cs="Times New Roman"/>
          <w:sz w:val="20"/>
          <w:szCs w:val="20"/>
        </w:rPr>
        <w:t xml:space="preserve">, </w:t>
      </w: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PER</m:t>
            </m:r>
          </m:e>
          <m:sub>
            <m:r>
              <m:rPr>
                <m:sty m:val="p"/>
              </m:rPr>
              <w:rPr>
                <w:rFonts w:ascii="Cambria Math" w:hAnsi="Cambria Math" w:cs="Times New Roman"/>
                <w:sz w:val="20"/>
                <w:szCs w:val="20"/>
              </w:rPr>
              <m:t>it</m:t>
            </m:r>
          </m:sub>
          <m:sup>
            <m:r>
              <m:rPr>
                <m:sty m:val="p"/>
              </m:rPr>
              <w:rPr>
                <w:rFonts w:ascii="Cambria Math" w:hAnsi="Cambria Math" w:cs="Times New Roman"/>
                <w:sz w:val="20"/>
                <w:szCs w:val="20"/>
              </w:rPr>
              <m:t>p</m:t>
            </m:r>
          </m:sup>
        </m:sSubSup>
      </m:oMath>
      <w:r w:rsidR="005B0E49" w:rsidRPr="008B591B">
        <w:rPr>
          <w:rFonts w:ascii="Times New Roman" w:eastAsiaTheme="minorEastAsia" w:hAnsi="Times New Roman" w:cs="Times New Roman"/>
          <w:sz w:val="20"/>
          <w:szCs w:val="20"/>
        </w:rPr>
        <w:t xml:space="preserve"> </w:t>
      </w:r>
      <w:r w:rsidR="006B7CDA" w:rsidRPr="008B591B">
        <w:rPr>
          <w:rFonts w:ascii="Times New Roman" w:eastAsiaTheme="minorEastAsia" w:hAnsi="Times New Roman" w:cs="Times New Roman"/>
          <w:sz w:val="20"/>
          <w:szCs w:val="20"/>
        </w:rPr>
        <w:t xml:space="preserve">), o </w:t>
      </w:r>
      <w:r w:rsidR="00967509" w:rsidRPr="008B591B">
        <w:rPr>
          <w:rFonts w:ascii="Times New Roman" w:eastAsiaTheme="minorEastAsia" w:hAnsi="Times New Roman" w:cs="Times New Roman"/>
          <w:sz w:val="20"/>
          <w:szCs w:val="20"/>
        </w:rPr>
        <w:t>su</w:t>
      </w:r>
      <w:r w:rsidR="009F3F52" w:rsidRPr="008B591B">
        <w:rPr>
          <w:rFonts w:ascii="Times New Roman" w:eastAsiaTheme="minorEastAsia" w:hAnsi="Times New Roman" w:cs="Times New Roman"/>
          <w:sz w:val="20"/>
          <w:szCs w:val="20"/>
        </w:rPr>
        <w:t xml:space="preserve"> participación de mercado </w:t>
      </w:r>
      <w:r w:rsidR="00967509" w:rsidRPr="008B591B">
        <w:rPr>
          <w:rFonts w:ascii="Times New Roman" w:eastAsiaTheme="minorEastAsia" w:hAnsi="Times New Roman" w:cs="Times New Roman"/>
          <w:sz w:val="20"/>
          <w:szCs w:val="20"/>
        </w:rPr>
        <w:t>(</w:t>
      </w:r>
      <m:oMath>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PER</m:t>
            </m:r>
          </m:e>
          <m:sub>
            <m:r>
              <w:rPr>
                <w:rFonts w:ascii="Cambria Math" w:eastAsiaTheme="minorEastAsia" w:hAnsi="Cambria Math" w:cs="Times New Roman"/>
                <w:sz w:val="20"/>
                <w:szCs w:val="20"/>
              </w:rPr>
              <m:t xml:space="preserve">it  </m:t>
            </m:r>
          </m:sub>
          <m:sup>
            <m:r>
              <w:rPr>
                <w:rFonts w:ascii="Cambria Math" w:eastAsiaTheme="minorEastAsia" w:hAnsi="Cambria Math" w:cs="Times New Roman"/>
                <w:sz w:val="20"/>
                <w:szCs w:val="20"/>
              </w:rPr>
              <m:t>q</m:t>
            </m:r>
          </m:sup>
        </m:sSubSup>
        <m:r>
          <w:rPr>
            <w:rFonts w:ascii="Cambria Math" w:eastAsiaTheme="minorEastAsia" w:hAnsi="Cambria Math" w:cs="Times New Roman"/>
            <w:sz w:val="20"/>
            <w:szCs w:val="20"/>
          </w:rPr>
          <m:t>)</m:t>
        </m:r>
      </m:oMath>
      <w:r w:rsidR="009F3F52" w:rsidRPr="008B591B">
        <w:rPr>
          <w:rFonts w:ascii="Times New Roman" w:eastAsiaTheme="minorEastAsia" w:hAnsi="Times New Roman" w:cs="Times New Roman"/>
          <w:sz w:val="20"/>
          <w:szCs w:val="20"/>
        </w:rPr>
        <w:t xml:space="preserve">. </w:t>
      </w:r>
      <w:r w:rsidR="00B11104" w:rsidRPr="008B591B">
        <w:rPr>
          <w:rFonts w:ascii="Times New Roman" w:eastAsiaTheme="minorEastAsia" w:hAnsi="Times New Roman" w:cs="Times New Roman"/>
          <w:sz w:val="20"/>
          <w:szCs w:val="20"/>
        </w:rPr>
        <w:t xml:space="preserve">Para el caso mexicano </w:t>
      </w:r>
      <w:r w:rsidR="005B0E49" w:rsidRPr="008B591B">
        <w:rPr>
          <w:rFonts w:ascii="Times New Roman" w:eastAsiaTheme="minorEastAsia" w:hAnsi="Times New Roman" w:cs="Times New Roman"/>
          <w:sz w:val="20"/>
          <w:szCs w:val="20"/>
        </w:rPr>
        <w:t xml:space="preserve">se utilizaron </w:t>
      </w:r>
      <w:r w:rsidR="00743C2B" w:rsidRPr="008B591B">
        <w:rPr>
          <w:rFonts w:ascii="Times New Roman" w:eastAsiaTheme="minorEastAsia" w:hAnsi="Times New Roman" w:cs="Times New Roman"/>
          <w:sz w:val="20"/>
          <w:szCs w:val="20"/>
        </w:rPr>
        <w:t xml:space="preserve">ambas </w:t>
      </w:r>
      <w:r w:rsidR="005B0E49" w:rsidRPr="008B591B">
        <w:rPr>
          <w:rFonts w:ascii="Times New Roman" w:eastAsiaTheme="minorEastAsia" w:hAnsi="Times New Roman" w:cs="Times New Roman"/>
          <w:sz w:val="20"/>
          <w:szCs w:val="20"/>
        </w:rPr>
        <w:t>medidas diferentes del desempeño</w:t>
      </w:r>
      <w:r w:rsidR="00743C2B" w:rsidRPr="008B591B">
        <w:rPr>
          <w:rFonts w:ascii="Times New Roman" w:eastAsiaTheme="minorEastAsia" w:hAnsi="Times New Roman" w:cs="Times New Roman"/>
          <w:sz w:val="20"/>
          <w:szCs w:val="20"/>
        </w:rPr>
        <w:t xml:space="preserve"> </w:t>
      </w:r>
      <w:r w:rsidR="00C91BD0" w:rsidRPr="008B591B">
        <w:rPr>
          <w:rFonts w:ascii="Times New Roman" w:eastAsiaTheme="minorEastAsia" w:hAnsi="Times New Roman" w:cs="Times New Roman"/>
          <w:sz w:val="20"/>
          <w:szCs w:val="20"/>
        </w:rPr>
        <w:t xml:space="preserve">todos </w:t>
      </w:r>
      <w:r w:rsidR="00967509" w:rsidRPr="008B591B">
        <w:rPr>
          <w:rFonts w:ascii="Times New Roman" w:eastAsiaTheme="minorEastAsia" w:hAnsi="Times New Roman" w:cs="Times New Roman"/>
          <w:sz w:val="20"/>
          <w:szCs w:val="20"/>
        </w:rPr>
        <w:t>pa</w:t>
      </w:r>
      <w:r w:rsidR="005B0E49" w:rsidRPr="008B591B">
        <w:rPr>
          <w:rFonts w:ascii="Times New Roman" w:eastAsiaTheme="minorEastAsia" w:hAnsi="Times New Roman" w:cs="Times New Roman"/>
          <w:sz w:val="20"/>
          <w:szCs w:val="20"/>
        </w:rPr>
        <w:t xml:space="preserve">ra los </w:t>
      </w:r>
      <w:r w:rsidR="0009772B" w:rsidRPr="008B591B">
        <w:rPr>
          <w:rFonts w:ascii="Times New Roman" w:eastAsiaTheme="minorEastAsia" w:hAnsi="Times New Roman" w:cs="Times New Roman"/>
          <w:sz w:val="20"/>
          <w:szCs w:val="20"/>
        </w:rPr>
        <w:t xml:space="preserve">dos tipos de operador: </w:t>
      </w:r>
      <w:r w:rsidR="000C0221" w:rsidRPr="008B591B">
        <w:rPr>
          <w:rFonts w:ascii="Times New Roman" w:eastAsiaTheme="minorEastAsia" w:hAnsi="Times New Roman" w:cs="Times New Roman"/>
          <w:sz w:val="20"/>
          <w:szCs w:val="20"/>
        </w:rPr>
        <w:t>preponderante</w:t>
      </w:r>
      <w:r w:rsidR="0009772B" w:rsidRPr="008B591B">
        <w:rPr>
          <w:rFonts w:ascii="Times New Roman" w:eastAsiaTheme="minorEastAsia" w:hAnsi="Times New Roman" w:cs="Times New Roman"/>
          <w:sz w:val="20"/>
          <w:szCs w:val="20"/>
        </w:rPr>
        <w:t xml:space="preserve"> y entrantes</w:t>
      </w:r>
      <w:r w:rsidR="005B0E49" w:rsidRPr="008B591B">
        <w:rPr>
          <w:rFonts w:ascii="Times New Roman" w:eastAsiaTheme="minorEastAsia" w:hAnsi="Times New Roman" w:cs="Times New Roman"/>
          <w:sz w:val="20"/>
          <w:szCs w:val="20"/>
        </w:rPr>
        <w:t>.</w:t>
      </w:r>
      <w:r w:rsidR="00380D96" w:rsidRPr="008B591B">
        <w:rPr>
          <w:rFonts w:ascii="Times New Roman" w:eastAsiaTheme="minorEastAsia" w:hAnsi="Times New Roman" w:cs="Times New Roman"/>
          <w:sz w:val="20"/>
          <w:szCs w:val="20"/>
        </w:rPr>
        <w:t xml:space="preserve"> </w:t>
      </w:r>
    </w:p>
    <w:p w:rsidR="004D33B6" w:rsidRDefault="007F2503" w:rsidP="00B71AE9">
      <w:pPr>
        <w:widowControl w:val="0"/>
        <w:autoSpaceDE w:val="0"/>
        <w:autoSpaceDN w:val="0"/>
        <w:adjustRightInd w:val="0"/>
        <w:spacing w:after="120" w:line="240" w:lineRule="auto"/>
        <w:jc w:val="both"/>
        <w:rPr>
          <w:rFonts w:ascii="Times New Roman" w:hAnsi="Times New Roman" w:cs="Times New Roman"/>
          <w:sz w:val="24"/>
          <w:szCs w:val="24"/>
        </w:rPr>
      </w:pPr>
      <m:oMath>
        <m:r>
          <m:rPr>
            <m:sty m:val="b"/>
          </m:rPr>
          <w:rPr>
            <w:rFonts w:ascii="Cambria Math" w:eastAsiaTheme="minorEastAsia" w:hAnsi="Cambria Math" w:cs="Times New Roman"/>
            <w:sz w:val="24"/>
            <w:szCs w:val="24"/>
          </w:rPr>
          <m:t>TTM</m:t>
        </m:r>
      </m:oMath>
      <w:r w:rsidR="009F3F52" w:rsidRPr="005D226A">
        <w:rPr>
          <w:rFonts w:ascii="Times New Roman" w:eastAsiaTheme="minorEastAsia" w:hAnsi="Times New Roman" w:cs="Times New Roman"/>
          <w:sz w:val="24"/>
          <w:szCs w:val="24"/>
        </w:rPr>
        <w:t xml:space="preserve"> </w:t>
      </w:r>
      <w:proofErr w:type="gramStart"/>
      <w:r w:rsidR="009F3F52" w:rsidRPr="008B591B">
        <w:rPr>
          <w:rFonts w:ascii="Times New Roman" w:eastAsiaTheme="minorEastAsia" w:hAnsi="Times New Roman" w:cs="Times New Roman"/>
          <w:sz w:val="20"/>
          <w:szCs w:val="20"/>
        </w:rPr>
        <w:t>es</w:t>
      </w:r>
      <w:proofErr w:type="gramEnd"/>
      <w:r w:rsidR="009F3F52" w:rsidRPr="008B591B">
        <w:rPr>
          <w:rFonts w:ascii="Times New Roman" w:eastAsiaTheme="minorEastAsia" w:hAnsi="Times New Roman" w:cs="Times New Roman"/>
          <w:sz w:val="20"/>
          <w:szCs w:val="20"/>
        </w:rPr>
        <w:t xml:space="preserve"> </w:t>
      </w:r>
      <w:r w:rsidR="00E917FB" w:rsidRPr="008B591B">
        <w:rPr>
          <w:rFonts w:ascii="Times New Roman" w:eastAsiaTheme="minorEastAsia" w:hAnsi="Times New Roman" w:cs="Times New Roman"/>
          <w:sz w:val="20"/>
          <w:szCs w:val="20"/>
        </w:rPr>
        <w:t>la tarifa de terminación m</w:t>
      </w:r>
      <w:r w:rsidR="004D33B6" w:rsidRPr="008B591B">
        <w:rPr>
          <w:rFonts w:ascii="Times New Roman" w:eastAsiaTheme="minorEastAsia" w:hAnsi="Times New Roman" w:cs="Times New Roman"/>
          <w:sz w:val="20"/>
          <w:szCs w:val="20"/>
        </w:rPr>
        <w:t xml:space="preserve">óvil que cobra un </w:t>
      </w:r>
      <w:r w:rsidR="004D33B6" w:rsidRPr="008B591B">
        <w:rPr>
          <w:rFonts w:ascii="Times New Roman" w:hAnsi="Times New Roman" w:cs="Times New Roman"/>
          <w:sz w:val="20"/>
          <w:szCs w:val="20"/>
        </w:rPr>
        <w:t>operador i en t por terminar el tráfico en el dispositivo del cliente</w:t>
      </w:r>
      <w:r w:rsidR="00C91BD0" w:rsidRPr="008B591B">
        <w:rPr>
          <w:rFonts w:ascii="Times New Roman" w:hAnsi="Times New Roman" w:cs="Times New Roman"/>
          <w:sz w:val="20"/>
          <w:szCs w:val="20"/>
        </w:rPr>
        <w:t xml:space="preserve"> de otro operador</w:t>
      </w:r>
      <w:r w:rsidR="004D33B6" w:rsidRPr="008B591B">
        <w:rPr>
          <w:rFonts w:ascii="Times New Roman" w:hAnsi="Times New Roman" w:cs="Times New Roman"/>
          <w:sz w:val="20"/>
          <w:szCs w:val="20"/>
        </w:rPr>
        <w:t>. La existencia de un régimen asimétrico implica que hay al menos dos d</w:t>
      </w:r>
      <w:r w:rsidR="00D74A4F" w:rsidRPr="008B591B">
        <w:rPr>
          <w:rFonts w:ascii="Times New Roman" w:hAnsi="Times New Roman" w:cs="Times New Roman"/>
          <w:sz w:val="20"/>
          <w:szCs w:val="20"/>
        </w:rPr>
        <w:t>iferentes TTM: una la que cobra</w:t>
      </w:r>
      <w:r w:rsidR="004D33B6" w:rsidRPr="008B591B">
        <w:rPr>
          <w:rFonts w:ascii="Times New Roman" w:hAnsi="Times New Roman" w:cs="Times New Roman"/>
          <w:sz w:val="20"/>
          <w:szCs w:val="20"/>
        </w:rPr>
        <w:t xml:space="preserve"> el </w:t>
      </w:r>
      <w:r w:rsidR="000C0221" w:rsidRPr="008B591B">
        <w:rPr>
          <w:rFonts w:ascii="Times New Roman" w:hAnsi="Times New Roman" w:cs="Times New Roman"/>
          <w:sz w:val="20"/>
          <w:szCs w:val="20"/>
        </w:rPr>
        <w:t>preponderante</w:t>
      </w:r>
      <w:r w:rsidR="004D33B6" w:rsidRPr="008B591B">
        <w:rPr>
          <w:rFonts w:ascii="Times New Roman" w:hAnsi="Times New Roman" w:cs="Times New Roman"/>
          <w:sz w:val="20"/>
          <w:szCs w:val="20"/>
        </w:rPr>
        <w:t xml:space="preserve"> y </w:t>
      </w:r>
      <w:r w:rsidR="00D13692" w:rsidRPr="008B591B">
        <w:rPr>
          <w:rFonts w:ascii="Times New Roman" w:hAnsi="Times New Roman" w:cs="Times New Roman"/>
          <w:sz w:val="20"/>
          <w:szCs w:val="20"/>
        </w:rPr>
        <w:t>otra los operadores entrantes. En un régimen asimétrico e</w:t>
      </w:r>
      <w:r w:rsidR="004D33B6" w:rsidRPr="008B591B">
        <w:rPr>
          <w:rFonts w:ascii="Times New Roman" w:hAnsi="Times New Roman" w:cs="Times New Roman"/>
          <w:sz w:val="20"/>
          <w:szCs w:val="20"/>
        </w:rPr>
        <w:t>sta última es más elevada</w:t>
      </w:r>
      <w:r w:rsidR="00991EE2" w:rsidRPr="008B591B">
        <w:rPr>
          <w:rFonts w:ascii="Times New Roman" w:hAnsi="Times New Roman" w:cs="Times New Roman"/>
          <w:sz w:val="20"/>
          <w:szCs w:val="20"/>
        </w:rPr>
        <w:t>,</w:t>
      </w:r>
      <w:r w:rsidR="004D33B6" w:rsidRPr="008B591B">
        <w:rPr>
          <w:rFonts w:ascii="Times New Roman" w:hAnsi="Times New Roman" w:cs="Times New Roman"/>
          <w:sz w:val="20"/>
          <w:szCs w:val="20"/>
        </w:rPr>
        <w:t xml:space="preserve"> ya que incluye un margen sobre los costos. En México, no existe u</w:t>
      </w:r>
      <w:r w:rsidR="00C91BD0" w:rsidRPr="008B591B">
        <w:rPr>
          <w:rFonts w:ascii="Times New Roman" w:hAnsi="Times New Roman" w:cs="Times New Roman"/>
          <w:sz w:val="20"/>
          <w:szCs w:val="20"/>
        </w:rPr>
        <w:t xml:space="preserve">n proceso previamente definido </w:t>
      </w:r>
      <w:r w:rsidR="004D33B6" w:rsidRPr="008B591B">
        <w:rPr>
          <w:rFonts w:ascii="Times New Roman" w:hAnsi="Times New Roman" w:cs="Times New Roman"/>
          <w:sz w:val="20"/>
          <w:szCs w:val="20"/>
        </w:rPr>
        <w:t>de aproxi</w:t>
      </w:r>
      <w:r w:rsidR="00D74A4F" w:rsidRPr="008B591B">
        <w:rPr>
          <w:rFonts w:ascii="Times New Roman" w:hAnsi="Times New Roman" w:cs="Times New Roman"/>
          <w:sz w:val="20"/>
          <w:szCs w:val="20"/>
        </w:rPr>
        <w:t>mación gradual entre ambas TTM, por lo que se incluye</w:t>
      </w:r>
      <w:r w:rsidR="00C91BD0" w:rsidRPr="008B591B">
        <w:rPr>
          <w:rFonts w:ascii="Times New Roman" w:hAnsi="Times New Roman" w:cs="Times New Roman"/>
          <w:sz w:val="20"/>
          <w:szCs w:val="20"/>
        </w:rPr>
        <w:t>n</w:t>
      </w:r>
      <w:r w:rsidR="00D74A4F" w:rsidRPr="008B591B">
        <w:rPr>
          <w:rFonts w:ascii="Times New Roman" w:hAnsi="Times New Roman" w:cs="Times New Roman"/>
          <w:sz w:val="20"/>
          <w:szCs w:val="20"/>
        </w:rPr>
        <w:t xml:space="preserve"> la</w:t>
      </w:r>
      <w:r w:rsidR="00C91BD0" w:rsidRPr="008B591B">
        <w:rPr>
          <w:rFonts w:ascii="Times New Roman" w:hAnsi="Times New Roman" w:cs="Times New Roman"/>
          <w:sz w:val="20"/>
          <w:szCs w:val="20"/>
        </w:rPr>
        <w:t>s</w:t>
      </w:r>
      <w:r w:rsidR="00991EE2" w:rsidRPr="008B591B">
        <w:rPr>
          <w:rFonts w:ascii="Times New Roman" w:hAnsi="Times New Roman" w:cs="Times New Roman"/>
          <w:sz w:val="20"/>
          <w:szCs w:val="20"/>
        </w:rPr>
        <w:t xml:space="preserve"> TTM </w:t>
      </w:r>
      <w:r w:rsidR="00ED76BB" w:rsidRPr="008B591B">
        <w:rPr>
          <w:rFonts w:ascii="Times New Roman" w:hAnsi="Times New Roman" w:cs="Times New Roman"/>
          <w:sz w:val="20"/>
          <w:szCs w:val="20"/>
        </w:rPr>
        <w:t>aplicada</w:t>
      </w:r>
      <w:r w:rsidR="00C91BD0" w:rsidRPr="008B591B">
        <w:rPr>
          <w:rFonts w:ascii="Times New Roman" w:hAnsi="Times New Roman" w:cs="Times New Roman"/>
          <w:sz w:val="20"/>
          <w:szCs w:val="20"/>
        </w:rPr>
        <w:t>s</w:t>
      </w:r>
      <w:r w:rsidR="00D74A4F" w:rsidRPr="008B591B">
        <w:rPr>
          <w:rFonts w:ascii="Times New Roman" w:hAnsi="Times New Roman" w:cs="Times New Roman"/>
          <w:sz w:val="20"/>
          <w:szCs w:val="20"/>
        </w:rPr>
        <w:t xml:space="preserve"> por el </w:t>
      </w:r>
      <w:r w:rsidR="000C0221" w:rsidRPr="008B591B">
        <w:rPr>
          <w:rFonts w:ascii="Times New Roman" w:hAnsi="Times New Roman" w:cs="Times New Roman"/>
          <w:sz w:val="20"/>
          <w:szCs w:val="20"/>
        </w:rPr>
        <w:t>preponderante</w:t>
      </w:r>
      <w:r w:rsidR="00C91BD0" w:rsidRPr="008B591B">
        <w:rPr>
          <w:rFonts w:ascii="Times New Roman" w:hAnsi="Times New Roman" w:cs="Times New Roman"/>
          <w:sz w:val="20"/>
          <w:szCs w:val="20"/>
        </w:rPr>
        <w:t xml:space="preserve"> y por </w:t>
      </w:r>
      <w:r w:rsidR="00971251" w:rsidRPr="008B591B">
        <w:rPr>
          <w:rFonts w:ascii="Times New Roman" w:hAnsi="Times New Roman" w:cs="Times New Roman"/>
          <w:sz w:val="20"/>
          <w:szCs w:val="20"/>
        </w:rPr>
        <w:t>los entrantes</w:t>
      </w:r>
      <w:r w:rsidR="00D74A4F" w:rsidRPr="005D226A">
        <w:rPr>
          <w:rFonts w:ascii="Times New Roman" w:hAnsi="Times New Roman" w:cs="Times New Roman"/>
          <w:sz w:val="24"/>
          <w:szCs w:val="24"/>
        </w:rPr>
        <w:t>.</w:t>
      </w:r>
    </w:p>
    <w:p w:rsidR="0089382B" w:rsidRPr="008B591B" w:rsidRDefault="0026031C" w:rsidP="00B71AE9">
      <w:pPr>
        <w:widowControl w:val="0"/>
        <w:autoSpaceDE w:val="0"/>
        <w:autoSpaceDN w:val="0"/>
        <w:adjustRightInd w:val="0"/>
        <w:spacing w:after="120" w:line="240" w:lineRule="auto"/>
        <w:jc w:val="both"/>
        <w:rPr>
          <w:rFonts w:ascii="Times New Roman" w:eastAsiaTheme="minorEastAsia" w:hAnsi="Times New Roman" w:cs="Times New Roman"/>
          <w:sz w:val="20"/>
          <w:szCs w:val="20"/>
        </w:rPr>
      </w:pPr>
      <m:oMath>
        <m:sSubSup>
          <m:sSubSupPr>
            <m:ctrlPr>
              <w:rPr>
                <w:rFonts w:ascii="Cambria Math" w:eastAsiaTheme="minorEastAsia" w:hAnsi="Cambria Math" w:cs="Times New Roman"/>
                <w:b/>
                <w:sz w:val="20"/>
                <w:szCs w:val="20"/>
              </w:rPr>
            </m:ctrlPr>
          </m:sSubSupPr>
          <m:e>
            <m:r>
              <m:rPr>
                <m:sty m:val="b"/>
              </m:rPr>
              <w:rPr>
                <w:rFonts w:ascii="Cambria Math" w:eastAsiaTheme="minorEastAsia" w:hAnsi="Cambria Math" w:cs="Times New Roman"/>
                <w:sz w:val="20"/>
                <w:szCs w:val="20"/>
              </w:rPr>
              <m:t>AR</m:t>
            </m:r>
          </m:e>
          <m:sub>
            <m:r>
              <m:rPr>
                <m:sty m:val="b"/>
              </m:rPr>
              <w:rPr>
                <w:rFonts w:ascii="Cambria Math" w:eastAsiaTheme="minorEastAsia" w:hAnsi="Cambria Math" w:cs="Times New Roman"/>
                <w:sz w:val="20"/>
                <w:szCs w:val="20"/>
              </w:rPr>
              <m:t>t</m:t>
            </m:r>
          </m:sub>
          <m:sup>
            <m:r>
              <m:rPr>
                <m:sty m:val="b"/>
              </m:rPr>
              <w:rPr>
                <w:rFonts w:ascii="Cambria Math" w:eastAsiaTheme="minorEastAsia" w:hAnsi="Cambria Math" w:cs="Times New Roman"/>
                <w:sz w:val="20"/>
                <w:szCs w:val="20"/>
              </w:rPr>
              <m:t>E/I</m:t>
            </m:r>
          </m:sup>
        </m:sSubSup>
        <m:r>
          <m:rPr>
            <m:sty m:val="b"/>
          </m:rPr>
          <w:rPr>
            <w:rFonts w:ascii="Cambria Math" w:eastAsiaTheme="minorEastAsia" w:hAnsi="Cambria Math" w:cs="Times New Roman"/>
            <w:sz w:val="20"/>
            <w:szCs w:val="20"/>
          </w:rPr>
          <m:t xml:space="preserve"> </m:t>
        </m:r>
      </m:oMath>
      <w:proofErr w:type="gramStart"/>
      <w:r w:rsidR="00915B7F" w:rsidRPr="00915B7F">
        <w:rPr>
          <w:rFonts w:ascii="Times New Roman" w:eastAsiaTheme="minorEastAsia" w:hAnsi="Times New Roman" w:cs="Times New Roman"/>
          <w:sz w:val="20"/>
          <w:szCs w:val="20"/>
        </w:rPr>
        <w:t>es</w:t>
      </w:r>
      <w:proofErr w:type="gramEnd"/>
      <w:r w:rsidR="00915B7F" w:rsidRPr="00915B7F">
        <w:rPr>
          <w:rFonts w:ascii="Times New Roman" w:eastAsiaTheme="minorEastAsia" w:hAnsi="Times New Roman" w:cs="Times New Roman"/>
          <w:sz w:val="20"/>
          <w:szCs w:val="20"/>
        </w:rPr>
        <w:t xml:space="preserve"> la asimetría regulatoria</w:t>
      </w:r>
      <w:r w:rsidR="00915B7F" w:rsidRPr="008B591B">
        <w:rPr>
          <w:rStyle w:val="Refdenotaalpie"/>
          <w:rFonts w:ascii="Times New Roman" w:eastAsiaTheme="minorEastAsia" w:hAnsi="Times New Roman" w:cs="Times New Roman"/>
          <w:b/>
          <w:sz w:val="20"/>
          <w:szCs w:val="20"/>
        </w:rPr>
        <w:footnoteReference w:id="13"/>
      </w:r>
      <w:r w:rsidR="00915B7F" w:rsidRPr="00915B7F">
        <w:rPr>
          <w:rFonts w:ascii="Times New Roman" w:eastAsiaTheme="minorEastAsia" w:hAnsi="Times New Roman" w:cs="Times New Roman"/>
          <w:sz w:val="20"/>
          <w:szCs w:val="20"/>
        </w:rPr>
        <w:t xml:space="preserve">que se define </w:t>
      </w:r>
      <w:r w:rsidR="00915B7F" w:rsidRPr="008B591B">
        <w:rPr>
          <w:rFonts w:ascii="Times New Roman" w:eastAsiaTheme="minorEastAsia" w:hAnsi="Times New Roman" w:cs="Times New Roman"/>
          <w:sz w:val="20"/>
          <w:szCs w:val="20"/>
        </w:rPr>
        <w:t xml:space="preserve">para el preponderante </w:t>
      </w:r>
      <w:r w:rsidR="00915B7F" w:rsidRPr="00915B7F">
        <w:rPr>
          <w:rFonts w:ascii="Times New Roman" w:eastAsiaTheme="minorEastAsia" w:hAnsi="Times New Roman" w:cs="Times New Roman"/>
          <w:sz w:val="20"/>
          <w:szCs w:val="20"/>
        </w:rPr>
        <w:t>como</w:t>
      </w:r>
      <w:r w:rsidR="009F3F52" w:rsidRPr="008B591B">
        <w:rPr>
          <w:rFonts w:ascii="Times New Roman" w:eastAsiaTheme="minorEastAsia" w:hAnsi="Times New Roman" w:cs="Times New Roman"/>
          <w:sz w:val="20"/>
          <w:szCs w:val="20"/>
        </w:rPr>
        <w:t xml:space="preserve">:  </w:t>
      </w:r>
      <m:oMath>
        <m:sSubSup>
          <m:sSubSupPr>
            <m:ctrlPr>
              <w:rPr>
                <w:rFonts w:ascii="Cambria Math" w:eastAsiaTheme="minorEastAsia" w:hAnsi="Cambria Math" w:cs="Times New Roman"/>
                <w:b/>
                <w:sz w:val="20"/>
                <w:szCs w:val="20"/>
              </w:rPr>
            </m:ctrlPr>
          </m:sSubSupPr>
          <m:e>
            <m:r>
              <m:rPr>
                <m:sty m:val="b"/>
              </m:rPr>
              <w:rPr>
                <w:rFonts w:ascii="Cambria Math" w:eastAsiaTheme="minorEastAsia" w:hAnsi="Cambria Math" w:cs="Times New Roman"/>
                <w:sz w:val="20"/>
                <w:szCs w:val="20"/>
              </w:rPr>
              <m:t>AR</m:t>
            </m:r>
          </m:e>
          <m:sub>
            <m:r>
              <m:rPr>
                <m:sty m:val="b"/>
              </m:rPr>
              <w:rPr>
                <w:rFonts w:ascii="Cambria Math" w:eastAsiaTheme="minorEastAsia" w:hAnsi="Cambria Math" w:cs="Times New Roman"/>
                <w:sz w:val="20"/>
                <w:szCs w:val="20"/>
              </w:rPr>
              <m:t>t</m:t>
            </m:r>
          </m:sub>
          <m:sup>
            <m:r>
              <m:rPr>
                <m:sty m:val="b"/>
              </m:rPr>
              <w:rPr>
                <w:rFonts w:ascii="Cambria Math" w:eastAsiaTheme="minorEastAsia" w:hAnsi="Cambria Math" w:cs="Times New Roman"/>
                <w:sz w:val="20"/>
                <w:szCs w:val="20"/>
              </w:rPr>
              <m:t>I</m:t>
            </m:r>
          </m:sup>
        </m:sSubSup>
        <m:r>
          <m:rPr>
            <m:sty m:val="b"/>
          </m:rPr>
          <w:rPr>
            <w:rFonts w:ascii="Cambria Math" w:eastAsiaTheme="minorEastAsia" w:hAnsi="Cambria Math" w:cs="Times New Roman"/>
            <w:sz w:val="20"/>
            <w:szCs w:val="20"/>
          </w:rPr>
          <m:t>=</m:t>
        </m:r>
        <m:nary>
          <m:naryPr>
            <m:chr m:val="∑"/>
            <m:limLoc m:val="undOvr"/>
            <m:supHide m:val="1"/>
            <m:ctrlPr>
              <w:rPr>
                <w:rFonts w:ascii="Cambria Math" w:eastAsiaTheme="minorEastAsia" w:hAnsi="Cambria Math" w:cs="Times New Roman"/>
                <w:b/>
                <w:sz w:val="20"/>
                <w:szCs w:val="20"/>
              </w:rPr>
            </m:ctrlPr>
          </m:naryPr>
          <m:sub>
            <m:r>
              <m:rPr>
                <m:sty m:val="b"/>
              </m:rPr>
              <w:rPr>
                <w:rFonts w:ascii="Cambria Math" w:eastAsiaTheme="minorEastAsia" w:hAnsi="Cambria Math" w:cs="Times New Roman"/>
                <w:sz w:val="20"/>
                <w:szCs w:val="20"/>
              </w:rPr>
              <m:t>i</m:t>
            </m:r>
          </m:sub>
          <m:sup/>
          <m:e>
            <m:r>
              <m:rPr>
                <m:sty m:val="b"/>
              </m:rPr>
              <w:rPr>
                <w:rFonts w:ascii="Cambria Math" w:eastAsiaTheme="minorEastAsia" w:hAnsi="Cambria Math" w:cs="Times New Roman"/>
                <w:sz w:val="20"/>
                <w:szCs w:val="20"/>
              </w:rPr>
              <m:t>(</m:t>
            </m:r>
            <m:sSub>
              <m:sSubPr>
                <m:ctrlPr>
                  <w:rPr>
                    <w:rFonts w:ascii="Cambria Math" w:eastAsiaTheme="minorEastAsia" w:hAnsi="Cambria Math" w:cs="Times New Roman"/>
                    <w:b/>
                    <w:sz w:val="20"/>
                    <w:szCs w:val="20"/>
                  </w:rPr>
                </m:ctrlPr>
              </m:sSubPr>
              <m:e>
                <m:r>
                  <m:rPr>
                    <m:sty m:val="b"/>
                  </m:rPr>
                  <w:rPr>
                    <w:rFonts w:ascii="Cambria Math" w:eastAsiaTheme="minorEastAsia" w:hAnsi="Cambria Math" w:cs="Times New Roman"/>
                    <w:sz w:val="20"/>
                    <w:szCs w:val="20"/>
                  </w:rPr>
                  <m:t>TTM</m:t>
                </m:r>
              </m:e>
              <m:sub>
                <m:r>
                  <m:rPr>
                    <m:sty m:val="b"/>
                  </m:rPr>
                  <w:rPr>
                    <w:rFonts w:ascii="Cambria Math" w:eastAsiaTheme="minorEastAsia" w:hAnsi="Cambria Math" w:cs="Times New Roman"/>
                    <w:sz w:val="20"/>
                    <w:szCs w:val="20"/>
                  </w:rPr>
                  <m:t>I,t</m:t>
                </m:r>
              </m:sub>
            </m:sSub>
          </m:e>
        </m:nary>
        <m:r>
          <m:rPr>
            <m:sty m:val="b"/>
          </m:rPr>
          <w:rPr>
            <w:rFonts w:ascii="Cambria Math" w:eastAsiaTheme="minorEastAsia" w:hAnsi="Cambria Math" w:cs="Times New Roman"/>
            <w:sz w:val="20"/>
            <w:szCs w:val="20"/>
          </w:rPr>
          <m:t>-</m:t>
        </m:r>
        <m:sSub>
          <m:sSubPr>
            <m:ctrlPr>
              <w:rPr>
                <w:rFonts w:ascii="Cambria Math" w:eastAsiaTheme="minorEastAsia" w:hAnsi="Cambria Math" w:cs="Times New Roman"/>
                <w:b/>
                <w:sz w:val="20"/>
                <w:szCs w:val="20"/>
              </w:rPr>
            </m:ctrlPr>
          </m:sSubPr>
          <m:e>
            <m:r>
              <m:rPr>
                <m:sty m:val="b"/>
              </m:rPr>
              <w:rPr>
                <w:rFonts w:ascii="Cambria Math" w:eastAsiaTheme="minorEastAsia" w:hAnsi="Cambria Math" w:cs="Times New Roman"/>
                <w:sz w:val="20"/>
                <w:szCs w:val="20"/>
              </w:rPr>
              <m:t>TTM</m:t>
            </m:r>
          </m:e>
          <m:sub>
            <m:r>
              <m:rPr>
                <m:sty m:val="b"/>
              </m:rPr>
              <w:rPr>
                <w:rFonts w:ascii="Cambria Math" w:eastAsiaTheme="minorEastAsia" w:hAnsi="Cambria Math" w:cs="Times New Roman"/>
                <w:sz w:val="20"/>
                <w:szCs w:val="20"/>
              </w:rPr>
              <m:t>e,t</m:t>
            </m:r>
          </m:sub>
        </m:sSub>
        <m:r>
          <m:rPr>
            <m:sty m:val="b"/>
          </m:rPr>
          <w:rPr>
            <w:rFonts w:ascii="Cambria Math" w:eastAsiaTheme="minorEastAsia" w:hAnsi="Cambria Math" w:cs="Times New Roman"/>
            <w:sz w:val="20"/>
            <w:szCs w:val="20"/>
          </w:rPr>
          <m:t>)</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it*</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 xml:space="preserve"> p</m:t>
            </m:r>
          </m:e>
          <m:sub>
            <m:r>
              <w:rPr>
                <w:rFonts w:ascii="Cambria Math" w:eastAsiaTheme="minorEastAsia" w:hAnsi="Cambria Math" w:cs="Times New Roman"/>
                <w:sz w:val="20"/>
                <w:szCs w:val="20"/>
              </w:rPr>
              <m:t>et</m:t>
            </m:r>
          </m:sub>
        </m:sSub>
      </m:oMath>
      <w:r w:rsidR="000C12CE" w:rsidRPr="008B591B">
        <w:rPr>
          <w:rFonts w:ascii="Times New Roman" w:eastAsiaTheme="minorEastAsia" w:hAnsi="Times New Roman" w:cs="Times New Roman"/>
          <w:sz w:val="20"/>
          <w:szCs w:val="20"/>
        </w:rPr>
        <w:t xml:space="preserve">  &lt; 0</w:t>
      </w:r>
      <w:r w:rsidR="009E4C3E" w:rsidRPr="008B591B">
        <w:rPr>
          <w:rFonts w:ascii="Times New Roman" w:eastAsiaTheme="minorEastAsia" w:hAnsi="Times New Roman" w:cs="Times New Roman"/>
          <w:sz w:val="20"/>
          <w:szCs w:val="20"/>
        </w:rPr>
        <w:t xml:space="preserve"> </w:t>
      </w:r>
      <w:r w:rsidR="00915B7F">
        <w:rPr>
          <w:rFonts w:ascii="Times New Roman" w:eastAsiaTheme="minorEastAsia" w:hAnsi="Times New Roman" w:cs="Times New Roman"/>
          <w:sz w:val="20"/>
          <w:szCs w:val="20"/>
        </w:rPr>
        <w:t>,</w:t>
      </w:r>
      <w:r w:rsidR="009E4C3E" w:rsidRPr="008B591B">
        <w:rPr>
          <w:rFonts w:ascii="Times New Roman" w:eastAsiaTheme="minorEastAsia" w:hAnsi="Times New Roman" w:cs="Times New Roman"/>
          <w:sz w:val="20"/>
          <w:szCs w:val="20"/>
        </w:rPr>
        <w:t xml:space="preserve">  donde </w:t>
      </w:r>
      <w:r w:rsidR="00967509" w:rsidRPr="008B591B">
        <w:rPr>
          <w:rFonts w:ascii="Times New Roman" w:eastAsiaTheme="minorEastAsia" w:hAnsi="Times New Roman" w:cs="Times New Roman"/>
          <w:sz w:val="20"/>
          <w:szCs w:val="20"/>
        </w:rPr>
        <w:t xml:space="preserve">  </w:t>
      </w:r>
      <m:oMath>
        <m:r>
          <m:rPr>
            <m:sty m:val="p"/>
          </m:rPr>
          <w:rPr>
            <w:rFonts w:ascii="Cambria Math" w:eastAsiaTheme="minorEastAsia" w:hAnsi="Cambria Math" w:cs="Times New Roman"/>
            <w:sz w:val="20"/>
            <w:szCs w:val="20"/>
          </w:rPr>
          <m:t xml:space="preserve"> </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it y</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 xml:space="preserve"> p</m:t>
            </m:r>
          </m:e>
          <m:sub>
            <m:r>
              <w:rPr>
                <w:rFonts w:ascii="Cambria Math" w:eastAsiaTheme="minorEastAsia" w:hAnsi="Cambria Math" w:cs="Times New Roman"/>
                <w:sz w:val="20"/>
                <w:szCs w:val="20"/>
              </w:rPr>
              <m:t>et</m:t>
            </m:r>
          </m:sub>
        </m:sSub>
        <m:r>
          <w:rPr>
            <w:rFonts w:ascii="Cambria Math" w:eastAsiaTheme="minorEastAsia" w:hAnsi="Cambria Math" w:cs="Times New Roman"/>
            <w:sz w:val="20"/>
            <w:szCs w:val="20"/>
          </w:rPr>
          <m:t xml:space="preserve"> </m:t>
        </m:r>
      </m:oMath>
      <w:r w:rsidR="009E4C3E" w:rsidRPr="008B591B">
        <w:rPr>
          <w:rFonts w:ascii="Times New Roman" w:eastAsiaTheme="minorEastAsia" w:hAnsi="Times New Roman" w:cs="Times New Roman"/>
          <w:sz w:val="20"/>
          <w:szCs w:val="20"/>
        </w:rPr>
        <w:t>son</w:t>
      </w:r>
      <w:r w:rsidR="00C91BD0" w:rsidRPr="008B591B">
        <w:rPr>
          <w:rFonts w:ascii="Times New Roman" w:eastAsiaTheme="minorEastAsia" w:hAnsi="Times New Roman" w:cs="Times New Roman"/>
          <w:sz w:val="20"/>
          <w:szCs w:val="20"/>
        </w:rPr>
        <w:t xml:space="preserve"> las participaciones de mercado</w:t>
      </w:r>
      <w:r w:rsidR="009E4C3E" w:rsidRPr="008B591B">
        <w:rPr>
          <w:rFonts w:ascii="Times New Roman" w:eastAsiaTheme="minorEastAsia" w:hAnsi="Times New Roman" w:cs="Times New Roman"/>
          <w:sz w:val="20"/>
          <w:szCs w:val="20"/>
        </w:rPr>
        <w:t xml:space="preserve"> de</w:t>
      </w:r>
      <w:r w:rsidR="00C91BD0" w:rsidRPr="008B591B">
        <w:rPr>
          <w:rFonts w:ascii="Times New Roman" w:eastAsiaTheme="minorEastAsia" w:hAnsi="Times New Roman" w:cs="Times New Roman"/>
          <w:sz w:val="20"/>
          <w:szCs w:val="20"/>
        </w:rPr>
        <w:t xml:space="preserve">l </w:t>
      </w:r>
      <w:r w:rsidR="000C0221" w:rsidRPr="008B591B">
        <w:rPr>
          <w:rFonts w:ascii="Times New Roman" w:eastAsiaTheme="minorEastAsia" w:hAnsi="Times New Roman" w:cs="Times New Roman"/>
          <w:sz w:val="20"/>
          <w:szCs w:val="20"/>
        </w:rPr>
        <w:t>preponderante</w:t>
      </w:r>
      <w:r w:rsidR="00915B7F">
        <w:rPr>
          <w:rFonts w:ascii="Times New Roman" w:eastAsiaTheme="minorEastAsia" w:hAnsi="Times New Roman" w:cs="Times New Roman"/>
          <w:sz w:val="20"/>
          <w:szCs w:val="20"/>
        </w:rPr>
        <w:t xml:space="preserve"> </w:t>
      </w:r>
      <w:r w:rsidR="00C91BD0" w:rsidRPr="008B591B">
        <w:rPr>
          <w:rFonts w:ascii="Times New Roman" w:eastAsiaTheme="minorEastAsia" w:hAnsi="Times New Roman" w:cs="Times New Roman"/>
          <w:sz w:val="20"/>
          <w:szCs w:val="20"/>
        </w:rPr>
        <w:t xml:space="preserve">y de </w:t>
      </w:r>
      <w:r w:rsidR="009E4C3E" w:rsidRPr="008B591B">
        <w:rPr>
          <w:rFonts w:ascii="Times New Roman" w:eastAsiaTheme="minorEastAsia" w:hAnsi="Times New Roman" w:cs="Times New Roman"/>
          <w:sz w:val="20"/>
          <w:szCs w:val="20"/>
        </w:rPr>
        <w:t xml:space="preserve">los </w:t>
      </w:r>
      <w:r w:rsidR="00C91BD0" w:rsidRPr="008B591B">
        <w:rPr>
          <w:rFonts w:ascii="Times New Roman" w:eastAsiaTheme="minorEastAsia" w:hAnsi="Times New Roman" w:cs="Times New Roman"/>
          <w:sz w:val="20"/>
          <w:szCs w:val="20"/>
        </w:rPr>
        <w:t>entrantes</w:t>
      </w:r>
      <w:r w:rsidR="00915B7F">
        <w:rPr>
          <w:rFonts w:ascii="Times New Roman" w:eastAsiaTheme="minorEastAsia" w:hAnsi="Times New Roman" w:cs="Times New Roman"/>
          <w:sz w:val="20"/>
          <w:szCs w:val="20"/>
        </w:rPr>
        <w:t>, respectivamente</w:t>
      </w:r>
      <w:r w:rsidR="009E4C3E" w:rsidRPr="008B591B">
        <w:rPr>
          <w:rFonts w:ascii="Times New Roman" w:eastAsiaTheme="minorEastAsia" w:hAnsi="Times New Roman" w:cs="Times New Roman"/>
          <w:sz w:val="20"/>
          <w:szCs w:val="20"/>
        </w:rPr>
        <w:t xml:space="preserve">. </w:t>
      </w:r>
      <w:r w:rsidR="006B7CDA" w:rsidRPr="008B591B">
        <w:rPr>
          <w:rFonts w:ascii="Times New Roman" w:eastAsiaTheme="minorEastAsia" w:hAnsi="Times New Roman" w:cs="Times New Roman"/>
          <w:sz w:val="20"/>
          <w:szCs w:val="20"/>
        </w:rPr>
        <w:t>Para los</w:t>
      </w:r>
      <w:r w:rsidR="007E33EC" w:rsidRPr="008B591B">
        <w:rPr>
          <w:rFonts w:ascii="Times New Roman" w:eastAsiaTheme="minorEastAsia" w:hAnsi="Times New Roman" w:cs="Times New Roman"/>
          <w:sz w:val="20"/>
          <w:szCs w:val="20"/>
        </w:rPr>
        <w:t xml:space="preserve"> e</w:t>
      </w:r>
      <w:r w:rsidR="009F3F52" w:rsidRPr="008B591B">
        <w:rPr>
          <w:rFonts w:ascii="Times New Roman" w:eastAsiaTheme="minorEastAsia" w:hAnsi="Times New Roman" w:cs="Times New Roman"/>
          <w:sz w:val="20"/>
          <w:szCs w:val="20"/>
        </w:rPr>
        <w:t>ntrante</w:t>
      </w:r>
      <w:r w:rsidR="006B7CDA" w:rsidRPr="008B591B">
        <w:rPr>
          <w:rFonts w:ascii="Times New Roman" w:eastAsiaTheme="minorEastAsia" w:hAnsi="Times New Roman" w:cs="Times New Roman"/>
          <w:sz w:val="20"/>
          <w:szCs w:val="20"/>
        </w:rPr>
        <w:t>s</w:t>
      </w:r>
      <w:r w:rsidR="00B75E6A" w:rsidRPr="008B591B">
        <w:rPr>
          <w:rFonts w:ascii="Times New Roman" w:eastAsiaTheme="minorEastAsia" w:hAnsi="Times New Roman" w:cs="Times New Roman"/>
          <w:sz w:val="20"/>
          <w:szCs w:val="20"/>
        </w:rPr>
        <w:t xml:space="preserve"> la asimetría toma la siguiente función</w:t>
      </w:r>
      <w:r w:rsidR="009F3F52" w:rsidRPr="008B591B">
        <w:rPr>
          <w:rFonts w:ascii="Times New Roman" w:eastAsiaTheme="minorEastAsia" w:hAnsi="Times New Roman" w:cs="Times New Roman"/>
          <w:sz w:val="20"/>
          <w:szCs w:val="20"/>
        </w:rPr>
        <w:t>:</w:t>
      </w:r>
      <w:r w:rsidR="00CC292A" w:rsidRPr="008B591B">
        <w:rPr>
          <w:rFonts w:ascii="Times New Roman" w:eastAsiaTheme="minorEastAsia" w:hAnsi="Times New Roman" w:cs="Times New Roman"/>
          <w:sz w:val="20"/>
          <w:szCs w:val="20"/>
        </w:rPr>
        <w:t xml:space="preserve"> </w:t>
      </w:r>
      <m:oMath>
        <m:sSubSup>
          <m:sSubSupPr>
            <m:ctrlPr>
              <w:rPr>
                <w:rFonts w:ascii="Cambria Math" w:eastAsiaTheme="minorEastAsia" w:hAnsi="Cambria Math" w:cs="Times New Roman"/>
                <w:b/>
                <w:i/>
                <w:iCs/>
                <w:sz w:val="20"/>
                <w:szCs w:val="20"/>
              </w:rPr>
            </m:ctrlPr>
          </m:sSubSupPr>
          <m:e>
            <m:r>
              <m:rPr>
                <m:sty m:val="b"/>
              </m:rPr>
              <w:rPr>
                <w:rFonts w:ascii="Cambria Math" w:eastAsiaTheme="minorEastAsia" w:hAnsi="Cambria Math" w:cs="Times New Roman"/>
                <w:sz w:val="20"/>
                <w:szCs w:val="20"/>
              </w:rPr>
              <m:t>AR</m:t>
            </m:r>
          </m:e>
          <m:sub>
            <m:r>
              <m:rPr>
                <m:sty m:val="b"/>
              </m:rPr>
              <w:rPr>
                <w:rFonts w:ascii="Cambria Math" w:eastAsiaTheme="minorEastAsia" w:hAnsi="Cambria Math" w:cs="Times New Roman"/>
                <w:sz w:val="20"/>
                <w:szCs w:val="20"/>
              </w:rPr>
              <m:t>t</m:t>
            </m:r>
          </m:sub>
          <m:sup>
            <m:r>
              <m:rPr>
                <m:sty m:val="b"/>
              </m:rPr>
              <w:rPr>
                <w:rFonts w:ascii="Cambria Math" w:eastAsiaTheme="minorEastAsia" w:hAnsi="Cambria Math" w:cs="Times New Roman"/>
                <w:sz w:val="20"/>
                <w:szCs w:val="20"/>
              </w:rPr>
              <m:t>E</m:t>
            </m:r>
          </m:sup>
        </m:sSubSup>
        <m:r>
          <m:rPr>
            <m:sty m:val="b"/>
          </m:rPr>
          <w:rPr>
            <w:rFonts w:ascii="Cambria Math" w:eastAsiaTheme="minorEastAsia" w:hAnsi="Cambria Math" w:cs="Times New Roman"/>
            <w:sz w:val="20"/>
            <w:szCs w:val="20"/>
          </w:rPr>
          <m:t>=</m:t>
        </m:r>
        <m:nary>
          <m:naryPr>
            <m:chr m:val="∑"/>
            <m:limLoc m:val="undOvr"/>
            <m:supHide m:val="1"/>
            <m:ctrlPr>
              <w:rPr>
                <w:rFonts w:ascii="Cambria Math" w:eastAsiaTheme="minorEastAsia" w:hAnsi="Cambria Math" w:cs="Times New Roman"/>
                <w:b/>
                <w:i/>
                <w:iCs/>
                <w:sz w:val="20"/>
                <w:szCs w:val="20"/>
              </w:rPr>
            </m:ctrlPr>
          </m:naryPr>
          <m:sub>
            <m:r>
              <m:rPr>
                <m:sty m:val="bi"/>
              </m:rPr>
              <w:rPr>
                <w:rFonts w:ascii="Cambria Math" w:eastAsiaTheme="minorEastAsia" w:hAnsi="Cambria Math" w:cs="Times New Roman"/>
                <w:sz w:val="20"/>
                <w:szCs w:val="20"/>
              </w:rPr>
              <m:t>e</m:t>
            </m:r>
          </m:sub>
          <m:sup/>
          <m:e>
            <m:r>
              <m:rPr>
                <m:sty m:val="b"/>
              </m:rPr>
              <w:rPr>
                <w:rFonts w:ascii="Cambria Math" w:eastAsiaTheme="minorEastAsia" w:hAnsi="Cambria Math" w:cs="Times New Roman"/>
                <w:sz w:val="20"/>
                <w:szCs w:val="20"/>
              </w:rPr>
              <m:t>(</m:t>
            </m:r>
            <m:sSub>
              <m:sSubPr>
                <m:ctrlPr>
                  <w:rPr>
                    <w:rFonts w:ascii="Cambria Math" w:eastAsiaTheme="minorEastAsia" w:hAnsi="Cambria Math" w:cs="Times New Roman"/>
                    <w:b/>
                    <w:i/>
                    <w:iCs/>
                    <w:sz w:val="20"/>
                    <w:szCs w:val="20"/>
                  </w:rPr>
                </m:ctrlPr>
              </m:sSubPr>
              <m:e>
                <m:r>
                  <m:rPr>
                    <m:sty m:val="b"/>
                  </m:rPr>
                  <w:rPr>
                    <w:rFonts w:ascii="Cambria Math" w:eastAsiaTheme="minorEastAsia" w:hAnsi="Cambria Math" w:cs="Times New Roman"/>
                    <w:sz w:val="20"/>
                    <w:szCs w:val="20"/>
                  </w:rPr>
                  <m:t>TTM</m:t>
                </m:r>
              </m:e>
              <m:sub>
                <m:r>
                  <m:rPr>
                    <m:sty m:val="b"/>
                  </m:rPr>
                  <w:rPr>
                    <w:rFonts w:ascii="Cambria Math" w:eastAsiaTheme="minorEastAsia" w:hAnsi="Cambria Math" w:cs="Times New Roman"/>
                    <w:sz w:val="20"/>
                    <w:szCs w:val="20"/>
                  </w:rPr>
                  <m:t>e,t</m:t>
                </m:r>
              </m:sub>
            </m:sSub>
          </m:e>
        </m:nary>
        <m:r>
          <m:rPr>
            <m:sty m:val="bi"/>
          </m:rPr>
          <w:rPr>
            <w:rFonts w:ascii="Cambria Math" w:eastAsiaTheme="minorEastAsia" w:hAnsi="Cambria Math" w:cs="Times New Roman"/>
            <w:sz w:val="20"/>
            <w:szCs w:val="20"/>
          </w:rPr>
          <m:t>-</m:t>
        </m:r>
        <m:sSub>
          <m:sSubPr>
            <m:ctrlPr>
              <w:rPr>
                <w:rFonts w:ascii="Cambria Math" w:eastAsiaTheme="minorEastAsia" w:hAnsi="Cambria Math" w:cs="Times New Roman"/>
                <w:b/>
                <w:i/>
                <w:iCs/>
                <w:sz w:val="20"/>
                <w:szCs w:val="20"/>
              </w:rPr>
            </m:ctrlPr>
          </m:sSubPr>
          <m:e>
            <m:r>
              <m:rPr>
                <m:sty m:val="b"/>
              </m:rPr>
              <w:rPr>
                <w:rFonts w:ascii="Cambria Math" w:eastAsiaTheme="minorEastAsia" w:hAnsi="Cambria Math" w:cs="Times New Roman"/>
                <w:sz w:val="20"/>
                <w:szCs w:val="20"/>
              </w:rPr>
              <m:t>TTM</m:t>
            </m:r>
          </m:e>
          <m:sub>
            <m:r>
              <m:rPr>
                <m:sty m:val="b"/>
              </m:rPr>
              <w:rPr>
                <w:rFonts w:ascii="Cambria Math" w:eastAsiaTheme="minorEastAsia" w:hAnsi="Cambria Math" w:cs="Times New Roman"/>
                <w:sz w:val="20"/>
                <w:szCs w:val="20"/>
              </w:rPr>
              <m:t>it</m:t>
            </m:r>
          </m:sub>
        </m:sSub>
        <m:r>
          <m:rPr>
            <m:sty m:val="b"/>
          </m:rPr>
          <w:rPr>
            <w:rFonts w:ascii="Cambria Math" w:eastAsiaTheme="minorEastAsia" w:hAnsi="Cambria Math" w:cs="Times New Roman"/>
            <w:sz w:val="20"/>
            <w:szCs w:val="20"/>
          </w:rPr>
          <m:t>)</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it*</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 xml:space="preserve"> p</m:t>
            </m:r>
          </m:e>
          <m:sub>
            <m:r>
              <w:rPr>
                <w:rFonts w:ascii="Cambria Math" w:eastAsiaTheme="minorEastAsia" w:hAnsi="Cambria Math" w:cs="Times New Roman"/>
                <w:sz w:val="20"/>
                <w:szCs w:val="20"/>
              </w:rPr>
              <m:t>et</m:t>
            </m:r>
          </m:sub>
        </m:sSub>
      </m:oMath>
      <w:r w:rsidR="00F71E5B" w:rsidRPr="008B591B">
        <w:rPr>
          <w:rFonts w:ascii="Times New Roman" w:eastAsiaTheme="minorEastAsia" w:hAnsi="Times New Roman" w:cs="Times New Roman"/>
          <w:b/>
          <w:sz w:val="20"/>
          <w:szCs w:val="20"/>
        </w:rPr>
        <w:t xml:space="preserve"> </w:t>
      </w:r>
      <w:r w:rsidR="006B7CDA" w:rsidRPr="008B591B">
        <w:rPr>
          <w:rFonts w:ascii="Times New Roman" w:eastAsiaTheme="minorEastAsia" w:hAnsi="Times New Roman" w:cs="Times New Roman"/>
          <w:b/>
          <w:sz w:val="20"/>
          <w:szCs w:val="20"/>
        </w:rPr>
        <w:t>&gt; 0,</w:t>
      </w:r>
      <w:r w:rsidR="0089382B" w:rsidRPr="008B591B">
        <w:rPr>
          <w:rFonts w:ascii="Times New Roman" w:eastAsiaTheme="minorEastAsia" w:hAnsi="Times New Roman" w:cs="Times New Roman"/>
          <w:sz w:val="20"/>
          <w:szCs w:val="20"/>
        </w:rPr>
        <w:t xml:space="preserve"> </w:t>
      </w:r>
      <w:r w:rsidR="009F3F52" w:rsidRPr="008B591B">
        <w:rPr>
          <w:rFonts w:ascii="Times New Roman" w:eastAsiaTheme="minorEastAsia" w:hAnsi="Times New Roman" w:cs="Times New Roman"/>
          <w:sz w:val="20"/>
          <w:szCs w:val="20"/>
        </w:rPr>
        <w:t xml:space="preserve"> </w:t>
      </w:r>
      <w:r w:rsidR="009E4C3E" w:rsidRPr="008B591B">
        <w:rPr>
          <w:rFonts w:ascii="Times New Roman" w:eastAsiaTheme="minorEastAsia" w:hAnsi="Times New Roman" w:cs="Times New Roman"/>
          <w:sz w:val="20"/>
          <w:szCs w:val="20"/>
        </w:rPr>
        <w:t>donde</w:t>
      </w:r>
      <w:r w:rsidR="00EB03A4" w:rsidRPr="008B591B">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it y</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 xml:space="preserve"> p</m:t>
            </m:r>
          </m:e>
          <m:sub>
            <m:r>
              <w:rPr>
                <w:rFonts w:ascii="Cambria Math" w:eastAsiaTheme="minorEastAsia" w:hAnsi="Cambria Math" w:cs="Times New Roman"/>
                <w:sz w:val="20"/>
                <w:szCs w:val="20"/>
              </w:rPr>
              <m:t>et</m:t>
            </m:r>
          </m:sub>
        </m:sSub>
        <m:r>
          <w:rPr>
            <w:rFonts w:ascii="Cambria Math" w:eastAsiaTheme="minorEastAsia" w:hAnsi="Cambria Math" w:cs="Times New Roman"/>
            <w:sz w:val="20"/>
            <w:szCs w:val="20"/>
          </w:rPr>
          <m:t xml:space="preserve"> </m:t>
        </m:r>
      </m:oMath>
      <w:r w:rsidR="009E4C3E" w:rsidRPr="008B591B">
        <w:rPr>
          <w:rFonts w:ascii="Times New Roman" w:eastAsiaTheme="minorEastAsia" w:hAnsi="Times New Roman" w:cs="Times New Roman"/>
          <w:sz w:val="20"/>
          <w:szCs w:val="20"/>
        </w:rPr>
        <w:t>son</w:t>
      </w:r>
      <w:r w:rsidR="00B540D2" w:rsidRPr="008B591B">
        <w:rPr>
          <w:rFonts w:ascii="Times New Roman" w:eastAsiaTheme="minorEastAsia" w:hAnsi="Times New Roman" w:cs="Times New Roman"/>
          <w:sz w:val="20"/>
          <w:szCs w:val="20"/>
        </w:rPr>
        <w:t xml:space="preserve"> las participaciones de mercado</w:t>
      </w:r>
      <w:r w:rsidR="009E4C3E" w:rsidRPr="008B591B">
        <w:rPr>
          <w:rFonts w:ascii="Times New Roman" w:eastAsiaTheme="minorEastAsia" w:hAnsi="Times New Roman" w:cs="Times New Roman"/>
          <w:sz w:val="20"/>
          <w:szCs w:val="20"/>
        </w:rPr>
        <w:t xml:space="preserve"> de</w:t>
      </w:r>
      <w:r w:rsidR="00560CF1" w:rsidRPr="008B591B">
        <w:rPr>
          <w:rFonts w:ascii="Times New Roman" w:eastAsiaTheme="minorEastAsia" w:hAnsi="Times New Roman" w:cs="Times New Roman"/>
          <w:sz w:val="20"/>
          <w:szCs w:val="20"/>
        </w:rPr>
        <w:t xml:space="preserve">l </w:t>
      </w:r>
      <w:r w:rsidR="000C0221" w:rsidRPr="008B591B">
        <w:rPr>
          <w:rFonts w:ascii="Times New Roman" w:eastAsiaTheme="minorEastAsia" w:hAnsi="Times New Roman" w:cs="Times New Roman"/>
          <w:sz w:val="20"/>
          <w:szCs w:val="20"/>
        </w:rPr>
        <w:t>preponderante</w:t>
      </w:r>
      <w:r w:rsidR="00560CF1" w:rsidRPr="008B591B">
        <w:rPr>
          <w:rFonts w:ascii="Times New Roman" w:eastAsiaTheme="minorEastAsia" w:hAnsi="Times New Roman" w:cs="Times New Roman"/>
          <w:sz w:val="20"/>
          <w:szCs w:val="20"/>
        </w:rPr>
        <w:t xml:space="preserve"> i</w:t>
      </w:r>
      <w:r w:rsidR="00B540D2" w:rsidRPr="008B591B">
        <w:rPr>
          <w:rFonts w:ascii="Times New Roman" w:eastAsiaTheme="minorEastAsia" w:hAnsi="Times New Roman" w:cs="Times New Roman"/>
          <w:sz w:val="20"/>
          <w:szCs w:val="20"/>
        </w:rPr>
        <w:t xml:space="preserve"> y</w:t>
      </w:r>
      <w:r w:rsidR="009E4C3E" w:rsidRPr="008B591B">
        <w:rPr>
          <w:rFonts w:ascii="Times New Roman" w:eastAsiaTheme="minorEastAsia" w:hAnsi="Times New Roman" w:cs="Times New Roman"/>
          <w:sz w:val="20"/>
          <w:szCs w:val="20"/>
        </w:rPr>
        <w:t xml:space="preserve"> los </w:t>
      </w:r>
      <w:r w:rsidR="00B540D2" w:rsidRPr="008B591B">
        <w:rPr>
          <w:rFonts w:ascii="Times New Roman" w:eastAsiaTheme="minorEastAsia" w:hAnsi="Times New Roman" w:cs="Times New Roman"/>
          <w:sz w:val="20"/>
          <w:szCs w:val="20"/>
        </w:rPr>
        <w:t xml:space="preserve">entrantes </w:t>
      </w:r>
      <w:r w:rsidR="00560CF1" w:rsidRPr="008B591B">
        <w:rPr>
          <w:rFonts w:ascii="Times New Roman" w:eastAsiaTheme="minorEastAsia" w:hAnsi="Times New Roman" w:cs="Times New Roman"/>
          <w:sz w:val="20"/>
          <w:szCs w:val="20"/>
        </w:rPr>
        <w:t xml:space="preserve">e, </w:t>
      </w:r>
      <w:r w:rsidR="00B540D2" w:rsidRPr="008B591B">
        <w:rPr>
          <w:rFonts w:ascii="Times New Roman" w:eastAsiaTheme="minorEastAsia" w:hAnsi="Times New Roman" w:cs="Times New Roman"/>
          <w:sz w:val="20"/>
          <w:szCs w:val="20"/>
        </w:rPr>
        <w:t xml:space="preserve">respectivamente. </w:t>
      </w:r>
      <w:r w:rsidR="0089382B" w:rsidRPr="008B591B">
        <w:rPr>
          <w:rStyle w:val="Refdenotaalpie"/>
          <w:rFonts w:ascii="Times New Roman" w:eastAsiaTheme="minorEastAsia" w:hAnsi="Times New Roman" w:cs="Times New Roman"/>
          <w:sz w:val="20"/>
          <w:szCs w:val="20"/>
        </w:rPr>
        <w:footnoteReference w:id="14"/>
      </w:r>
      <w:r w:rsidR="0089382B" w:rsidRPr="008B591B">
        <w:rPr>
          <w:rFonts w:ascii="Times New Roman" w:eastAsiaTheme="minorEastAsia" w:hAnsi="Times New Roman" w:cs="Times New Roman"/>
          <w:sz w:val="20"/>
          <w:szCs w:val="20"/>
        </w:rPr>
        <w:t xml:space="preserve">  </w:t>
      </w:r>
    </w:p>
    <w:p w:rsidR="009F3F52" w:rsidRPr="008B591B" w:rsidRDefault="0026031C" w:rsidP="00B71AE9">
      <w:pPr>
        <w:widowControl w:val="0"/>
        <w:autoSpaceDE w:val="0"/>
        <w:autoSpaceDN w:val="0"/>
        <w:adjustRightInd w:val="0"/>
        <w:spacing w:after="120" w:line="240" w:lineRule="auto"/>
        <w:jc w:val="both"/>
        <w:rPr>
          <w:rFonts w:ascii="Times New Roman" w:eastAsiaTheme="minorEastAsia" w:hAnsi="Times New Roman" w:cs="Times New Roman"/>
          <w:sz w:val="20"/>
          <w:szCs w:val="20"/>
        </w:rPr>
      </w:pPr>
      <m:oMath>
        <m:sSub>
          <m:sSubPr>
            <m:ctrlPr>
              <w:rPr>
                <w:rFonts w:ascii="Cambria Math" w:eastAsiaTheme="minorEastAsia" w:hAnsi="Cambria Math" w:cs="Times New Roman"/>
                <w:b/>
                <w:sz w:val="20"/>
                <w:szCs w:val="20"/>
              </w:rPr>
            </m:ctrlPr>
          </m:sSubPr>
          <m:e>
            <m:r>
              <m:rPr>
                <m:sty m:val="b"/>
              </m:rPr>
              <w:rPr>
                <w:rFonts w:ascii="Cambria Math" w:eastAsiaTheme="minorEastAsia" w:hAnsi="Cambria Math" w:cs="Times New Roman"/>
                <w:sz w:val="20"/>
                <w:szCs w:val="20"/>
              </w:rPr>
              <m:t>K</m:t>
            </m:r>
          </m:e>
          <m:sub>
            <m:r>
              <m:rPr>
                <m:sty m:val="b"/>
              </m:rPr>
              <w:rPr>
                <w:rFonts w:ascii="Cambria Math" w:eastAsiaTheme="minorEastAsia" w:hAnsi="Cambria Math" w:cs="Times New Roman"/>
                <w:sz w:val="20"/>
                <w:szCs w:val="20"/>
              </w:rPr>
              <m:t>t</m:t>
            </m:r>
          </m:sub>
        </m:sSub>
      </m:oMath>
      <w:r w:rsidR="0089382B" w:rsidRPr="008B591B">
        <w:rPr>
          <w:rFonts w:ascii="Times New Roman" w:eastAsiaTheme="minorEastAsia" w:hAnsi="Times New Roman" w:cs="Times New Roman"/>
          <w:sz w:val="20"/>
          <w:szCs w:val="20"/>
        </w:rPr>
        <w:t xml:space="preserve">  </w:t>
      </w:r>
      <w:r w:rsidR="009F3F52" w:rsidRPr="008B591B">
        <w:rPr>
          <w:rFonts w:ascii="Times New Roman" w:eastAsiaTheme="minorEastAsia" w:hAnsi="Times New Roman" w:cs="Times New Roman"/>
          <w:sz w:val="20"/>
          <w:szCs w:val="20"/>
        </w:rPr>
        <w:t xml:space="preserve"> </w:t>
      </w:r>
      <w:proofErr w:type="gramStart"/>
      <w:r w:rsidR="00BC736B" w:rsidRPr="008B591B">
        <w:rPr>
          <w:rFonts w:ascii="Times New Roman" w:eastAsiaTheme="minorEastAsia" w:hAnsi="Times New Roman" w:cs="Times New Roman"/>
          <w:sz w:val="20"/>
          <w:szCs w:val="20"/>
        </w:rPr>
        <w:t>es</w:t>
      </w:r>
      <w:proofErr w:type="gramEnd"/>
      <w:r w:rsidR="00BC736B" w:rsidRPr="008B591B">
        <w:rPr>
          <w:rFonts w:ascii="Times New Roman" w:eastAsiaTheme="minorEastAsia" w:hAnsi="Times New Roman" w:cs="Times New Roman"/>
          <w:sz w:val="20"/>
          <w:szCs w:val="20"/>
        </w:rPr>
        <w:t xml:space="preserve"> una variable </w:t>
      </w:r>
      <w:r w:rsidR="009F3F52" w:rsidRPr="008B591B">
        <w:rPr>
          <w:rFonts w:ascii="Times New Roman" w:eastAsiaTheme="minorEastAsia" w:hAnsi="Times New Roman" w:cs="Times New Roman"/>
          <w:sz w:val="20"/>
          <w:szCs w:val="20"/>
        </w:rPr>
        <w:t xml:space="preserve">de </w:t>
      </w:r>
      <w:r w:rsidR="00EB03A4" w:rsidRPr="008B591B">
        <w:rPr>
          <w:rFonts w:ascii="Times New Roman" w:eastAsiaTheme="minorEastAsia" w:hAnsi="Times New Roman" w:cs="Times New Roman"/>
          <w:sz w:val="20"/>
          <w:szCs w:val="20"/>
        </w:rPr>
        <w:t xml:space="preserve">control de </w:t>
      </w:r>
      <w:r w:rsidR="009F3F52" w:rsidRPr="008B591B">
        <w:rPr>
          <w:rFonts w:ascii="Times New Roman" w:eastAsiaTheme="minorEastAsia" w:hAnsi="Times New Roman" w:cs="Times New Roman"/>
          <w:sz w:val="20"/>
          <w:szCs w:val="20"/>
        </w:rPr>
        <w:t>tiempo</w:t>
      </w:r>
      <w:r w:rsidR="006B7CDA" w:rsidRPr="008B591B">
        <w:rPr>
          <w:rFonts w:ascii="Times New Roman" w:eastAsiaTheme="minorEastAsia" w:hAnsi="Times New Roman" w:cs="Times New Roman"/>
          <w:sz w:val="20"/>
          <w:szCs w:val="20"/>
        </w:rPr>
        <w:t xml:space="preserve">, la cual fue usada también por </w:t>
      </w:r>
      <w:proofErr w:type="spellStart"/>
      <w:r w:rsidR="006B7CDA" w:rsidRPr="008B591B">
        <w:rPr>
          <w:rFonts w:ascii="Times New Roman" w:eastAsiaTheme="minorEastAsia" w:hAnsi="Times New Roman" w:cs="Times New Roman"/>
          <w:sz w:val="20"/>
          <w:szCs w:val="20"/>
        </w:rPr>
        <w:t>Baranes</w:t>
      </w:r>
      <w:proofErr w:type="spellEnd"/>
      <w:r w:rsidR="006B7CDA" w:rsidRPr="008B591B">
        <w:rPr>
          <w:rFonts w:ascii="Times New Roman" w:eastAsiaTheme="minorEastAsia" w:hAnsi="Times New Roman" w:cs="Times New Roman"/>
          <w:sz w:val="20"/>
          <w:szCs w:val="20"/>
        </w:rPr>
        <w:t xml:space="preserve"> et al.</w:t>
      </w:r>
    </w:p>
    <w:p w:rsidR="00EB03A4" w:rsidRPr="008B591B" w:rsidRDefault="006B7CDA" w:rsidP="00B71AE9">
      <w:pPr>
        <w:widowControl w:val="0"/>
        <w:autoSpaceDE w:val="0"/>
        <w:autoSpaceDN w:val="0"/>
        <w:adjustRightInd w:val="0"/>
        <w:spacing w:after="120" w:line="240" w:lineRule="auto"/>
        <w:jc w:val="both"/>
        <w:rPr>
          <w:rFonts w:ascii="Times New Roman" w:eastAsiaTheme="minorEastAsia" w:hAnsi="Times New Roman" w:cs="Times New Roman"/>
          <w:sz w:val="20"/>
          <w:szCs w:val="20"/>
        </w:rPr>
      </w:pPr>
      <w:r w:rsidRPr="008B591B">
        <w:rPr>
          <w:rFonts w:ascii="Times New Roman" w:eastAsiaTheme="minorEastAsia" w:hAnsi="Times New Roman" w:cs="Times New Roman"/>
          <w:sz w:val="20"/>
          <w:szCs w:val="20"/>
        </w:rPr>
        <w:t xml:space="preserve">Al igual que en el modelo referido, se usa </w:t>
      </w:r>
      <w:r w:rsidR="009F3F52" w:rsidRPr="008B591B">
        <w:rPr>
          <w:rFonts w:ascii="Times New Roman" w:eastAsiaTheme="minorEastAsia" w:hAnsi="Times New Roman" w:cs="Times New Roman"/>
          <w:sz w:val="20"/>
          <w:szCs w:val="20"/>
        </w:rPr>
        <w:t>un sólo periodo de rezago</w:t>
      </w:r>
      <w:r w:rsidR="00EB03A4" w:rsidRPr="008B591B">
        <w:rPr>
          <w:rFonts w:ascii="Times New Roman" w:eastAsiaTheme="minorEastAsia" w:hAnsi="Times New Roman" w:cs="Times New Roman"/>
          <w:sz w:val="20"/>
          <w:szCs w:val="20"/>
        </w:rPr>
        <w:t xml:space="preserve"> de las variables de desempeño</w:t>
      </w:r>
      <w:r w:rsidR="009F3F52" w:rsidRPr="008B591B">
        <w:rPr>
          <w:rFonts w:ascii="Times New Roman" w:eastAsiaTheme="minorEastAsia" w:hAnsi="Times New Roman" w:cs="Times New Roman"/>
          <w:sz w:val="20"/>
          <w:szCs w:val="20"/>
        </w:rPr>
        <w:t xml:space="preserve">. </w:t>
      </w:r>
      <w:r w:rsidR="00743C2B" w:rsidRPr="008B591B">
        <w:rPr>
          <w:rFonts w:ascii="Times New Roman" w:eastAsiaTheme="minorEastAsia" w:hAnsi="Times New Roman" w:cs="Times New Roman"/>
          <w:sz w:val="20"/>
          <w:szCs w:val="20"/>
        </w:rPr>
        <w:t>T</w:t>
      </w:r>
      <w:r w:rsidR="009F3F52" w:rsidRPr="008B591B">
        <w:rPr>
          <w:rFonts w:ascii="Times New Roman" w:eastAsiaTheme="minorEastAsia" w:hAnsi="Times New Roman" w:cs="Times New Roman"/>
          <w:sz w:val="20"/>
          <w:szCs w:val="20"/>
        </w:rPr>
        <w:t xml:space="preserve">anto la rentabilidad como la participación de mercado son variables endógenas, por lo que </w:t>
      </w:r>
      <w:r w:rsidR="000626CB" w:rsidRPr="008B591B">
        <w:rPr>
          <w:rFonts w:ascii="Times New Roman" w:eastAsiaTheme="minorEastAsia" w:hAnsi="Times New Roman" w:cs="Times New Roman"/>
          <w:sz w:val="20"/>
          <w:szCs w:val="20"/>
        </w:rPr>
        <w:t xml:space="preserve">para </w:t>
      </w:r>
      <w:r w:rsidR="000C22DF" w:rsidRPr="008B591B">
        <w:rPr>
          <w:rFonts w:ascii="Times New Roman" w:eastAsiaTheme="minorEastAsia" w:hAnsi="Times New Roman" w:cs="Times New Roman"/>
          <w:sz w:val="20"/>
          <w:szCs w:val="20"/>
        </w:rPr>
        <w:t xml:space="preserve">tratar esta limitante, </w:t>
      </w:r>
      <w:proofErr w:type="spellStart"/>
      <w:r w:rsidR="00743C2B" w:rsidRPr="008B591B">
        <w:rPr>
          <w:rFonts w:ascii="Times New Roman" w:eastAsiaTheme="minorEastAsia" w:hAnsi="Times New Roman" w:cs="Times New Roman"/>
          <w:sz w:val="20"/>
          <w:szCs w:val="20"/>
        </w:rPr>
        <w:t>Baranes</w:t>
      </w:r>
      <w:proofErr w:type="spellEnd"/>
      <w:r w:rsidR="00743C2B" w:rsidRPr="008B591B">
        <w:rPr>
          <w:rFonts w:ascii="Times New Roman" w:eastAsiaTheme="minorEastAsia" w:hAnsi="Times New Roman" w:cs="Times New Roman"/>
          <w:sz w:val="20"/>
          <w:szCs w:val="20"/>
        </w:rPr>
        <w:t xml:space="preserve"> et al </w:t>
      </w:r>
      <w:r w:rsidR="009F3F52" w:rsidRPr="008B591B">
        <w:rPr>
          <w:rFonts w:ascii="Times New Roman" w:eastAsiaTheme="minorEastAsia" w:hAnsi="Times New Roman" w:cs="Times New Roman"/>
          <w:sz w:val="20"/>
          <w:szCs w:val="20"/>
        </w:rPr>
        <w:t>aplica</w:t>
      </w:r>
      <w:r w:rsidRPr="008B591B">
        <w:rPr>
          <w:rFonts w:ascii="Times New Roman" w:eastAsiaTheme="minorEastAsia" w:hAnsi="Times New Roman" w:cs="Times New Roman"/>
          <w:sz w:val="20"/>
          <w:szCs w:val="20"/>
        </w:rPr>
        <w:t>n</w:t>
      </w:r>
      <w:r w:rsidR="009F3F52" w:rsidRPr="008B591B">
        <w:rPr>
          <w:rFonts w:ascii="Times New Roman" w:eastAsiaTheme="minorEastAsia" w:hAnsi="Times New Roman" w:cs="Times New Roman"/>
          <w:sz w:val="20"/>
          <w:szCs w:val="20"/>
        </w:rPr>
        <w:t xml:space="preserve"> la estimación dinámica GMM</w:t>
      </w:r>
      <w:r w:rsidR="000C22DF" w:rsidRPr="008B591B">
        <w:rPr>
          <w:rFonts w:ascii="Times New Roman" w:eastAsiaTheme="minorEastAsia" w:hAnsi="Times New Roman" w:cs="Times New Roman"/>
          <w:sz w:val="20"/>
          <w:szCs w:val="20"/>
        </w:rPr>
        <w:t xml:space="preserve">. En nuestro caso, la metodología elegida es la </w:t>
      </w:r>
      <w:r w:rsidRPr="008B591B">
        <w:rPr>
          <w:rFonts w:ascii="Times New Roman" w:eastAsiaTheme="minorEastAsia" w:hAnsi="Times New Roman" w:cs="Times New Roman"/>
          <w:sz w:val="20"/>
          <w:szCs w:val="20"/>
        </w:rPr>
        <w:t>forma reducida,</w:t>
      </w:r>
      <w:r w:rsidR="00144E9B">
        <w:rPr>
          <w:rFonts w:ascii="Times New Roman" w:eastAsiaTheme="minorEastAsia" w:hAnsi="Times New Roman" w:cs="Times New Roman"/>
          <w:sz w:val="20"/>
          <w:szCs w:val="20"/>
        </w:rPr>
        <w:t xml:space="preserve"> que se expresa</w:t>
      </w:r>
      <w:r w:rsidR="009F3F52" w:rsidRPr="008B591B">
        <w:rPr>
          <w:rFonts w:ascii="Times New Roman" w:eastAsiaTheme="minorEastAsia" w:hAnsi="Times New Roman" w:cs="Times New Roman"/>
          <w:sz w:val="20"/>
          <w:szCs w:val="20"/>
        </w:rPr>
        <w:t xml:space="preserve"> a través de la ecuación</w:t>
      </w:r>
      <w:r w:rsidRPr="008B591B">
        <w:rPr>
          <w:rFonts w:ascii="Times New Roman" w:eastAsiaTheme="minorEastAsia" w:hAnsi="Times New Roman" w:cs="Times New Roman"/>
          <w:sz w:val="20"/>
          <w:szCs w:val="20"/>
        </w:rPr>
        <w:t xml:space="preserve"> número 2:</w:t>
      </w:r>
    </w:p>
    <w:tbl>
      <w:tblPr>
        <w:tblStyle w:val="Tablaconcuadrcula"/>
        <w:tblW w:w="0" w:type="auto"/>
        <w:tblInd w:w="1271" w:type="dxa"/>
        <w:tblLook w:val="04A0" w:firstRow="1" w:lastRow="0" w:firstColumn="1" w:lastColumn="0" w:noHBand="0" w:noVBand="1"/>
      </w:tblPr>
      <w:tblGrid>
        <w:gridCol w:w="7557"/>
      </w:tblGrid>
      <w:tr w:rsidR="00991EE2" w:rsidRPr="005D226A" w:rsidTr="00915B7F">
        <w:tc>
          <w:tcPr>
            <w:tcW w:w="7557" w:type="dxa"/>
          </w:tcPr>
          <w:p w:rsidR="00CC5215" w:rsidRPr="008B591B" w:rsidRDefault="00991EE2" w:rsidP="00915B7F">
            <w:pPr>
              <w:widowControl w:val="0"/>
              <w:autoSpaceDE w:val="0"/>
              <w:autoSpaceDN w:val="0"/>
              <w:adjustRightInd w:val="0"/>
              <w:spacing w:after="120"/>
              <w:rPr>
                <w:rFonts w:ascii="Times New Roman" w:eastAsiaTheme="minorEastAsia" w:hAnsi="Times New Roman" w:cs="Times New Roman"/>
                <w:sz w:val="20"/>
                <w:szCs w:val="20"/>
              </w:rPr>
            </w:pPr>
            <w:r w:rsidRPr="008B591B">
              <w:rPr>
                <w:rFonts w:ascii="Times New Roman" w:eastAsiaTheme="minorEastAsia" w:hAnsi="Times New Roman" w:cs="Times New Roman"/>
                <w:sz w:val="20"/>
                <w:szCs w:val="20"/>
              </w:rPr>
              <w:t>Ecuación 2</w:t>
            </w:r>
          </w:p>
          <w:p w:rsidR="00B7545B" w:rsidRPr="008B591B" w:rsidRDefault="00B7545B" w:rsidP="00915B7F">
            <w:pPr>
              <w:widowControl w:val="0"/>
              <w:autoSpaceDE w:val="0"/>
              <w:autoSpaceDN w:val="0"/>
              <w:adjustRightInd w:val="0"/>
              <w:spacing w:after="120"/>
              <w:rPr>
                <w:rFonts w:ascii="Times New Roman" w:eastAsiaTheme="minorEastAsia" w:hAnsi="Times New Roman" w:cs="Times New Roman"/>
                <w:b/>
                <w:i/>
                <w:sz w:val="20"/>
                <w:szCs w:val="20"/>
              </w:rPr>
            </w:pPr>
            <w:r w:rsidRPr="008B591B">
              <w:rPr>
                <w:rFonts w:ascii="Times New Roman" w:eastAsiaTheme="minorEastAsia" w:hAnsi="Times New Roman" w:cs="Times New Roman"/>
                <w:b/>
                <w:i/>
                <w:sz w:val="20"/>
                <w:szCs w:val="20"/>
              </w:rPr>
              <w:t xml:space="preserve">Para el </w:t>
            </w:r>
            <w:r w:rsidR="000C0221" w:rsidRPr="008B591B">
              <w:rPr>
                <w:rFonts w:ascii="Times New Roman" w:eastAsiaTheme="minorEastAsia" w:hAnsi="Times New Roman" w:cs="Times New Roman"/>
                <w:b/>
                <w:i/>
                <w:sz w:val="20"/>
                <w:szCs w:val="20"/>
              </w:rPr>
              <w:t>Preponderante</w:t>
            </w:r>
            <w:r w:rsidRPr="008B591B">
              <w:rPr>
                <w:rFonts w:ascii="Times New Roman" w:eastAsiaTheme="minorEastAsia" w:hAnsi="Times New Roman" w:cs="Times New Roman"/>
                <w:b/>
                <w:i/>
                <w:sz w:val="20"/>
                <w:szCs w:val="20"/>
              </w:rPr>
              <w:t>:</w:t>
            </w:r>
          </w:p>
          <w:p w:rsidR="00991EE2" w:rsidRPr="008B591B" w:rsidRDefault="0026031C" w:rsidP="00915B7F">
            <w:pPr>
              <w:pStyle w:val="Prrafodelista"/>
              <w:widowControl w:val="0"/>
              <w:numPr>
                <w:ilvl w:val="0"/>
                <w:numId w:val="40"/>
              </w:numPr>
              <w:autoSpaceDE w:val="0"/>
              <w:autoSpaceDN w:val="0"/>
              <w:adjustRightInd w:val="0"/>
              <w:spacing w:after="120"/>
              <w:ind w:left="357" w:hanging="357"/>
              <w:rPr>
                <w:rFonts w:ascii="Times New Roman" w:eastAsiaTheme="minorEastAsia" w:hAnsi="Times New Roman" w:cs="Times New Roman"/>
                <w:color w:val="0070C0"/>
                <w:sz w:val="20"/>
                <w:szCs w:val="20"/>
              </w:rPr>
            </w:pPr>
            <m:oMath>
              <m:sSubSup>
                <m:sSubSupPr>
                  <m:ctrlPr>
                    <w:rPr>
                      <w:rFonts w:ascii="Cambria Math" w:hAnsi="Cambria Math" w:cs="Times New Roman"/>
                      <w:color w:val="0070C0"/>
                      <w:sz w:val="20"/>
                      <w:szCs w:val="20"/>
                    </w:rPr>
                  </m:ctrlPr>
                </m:sSubSupPr>
                <m:e>
                  <m:r>
                    <m:rPr>
                      <m:sty m:val="p"/>
                    </m:rPr>
                    <w:rPr>
                      <w:rFonts w:ascii="Cambria Math" w:eastAsiaTheme="minorEastAsia" w:hAnsi="Cambria Math" w:cs="Times New Roman"/>
                      <w:color w:val="0070C0"/>
                      <w:sz w:val="20"/>
                      <w:szCs w:val="20"/>
                    </w:rPr>
                    <m:t>Mg_Ebitda</m:t>
                  </m:r>
                </m:e>
                <m:sub>
                  <m:r>
                    <m:rPr>
                      <m:sty m:val="p"/>
                    </m:rPr>
                    <w:rPr>
                      <w:rFonts w:ascii="Cambria Math" w:hAnsi="Cambria Math" w:cs="Times New Roman"/>
                      <w:color w:val="0070C0"/>
                      <w:sz w:val="20"/>
                      <w:szCs w:val="20"/>
                    </w:rPr>
                    <m:t>It</m:t>
                  </m:r>
                </m:sub>
                <m:sup/>
              </m:sSubSup>
            </m:oMath>
            <w:r w:rsidR="00CC5215" w:rsidRPr="008B591B">
              <w:rPr>
                <w:rFonts w:ascii="Times New Roman" w:eastAsiaTheme="minorEastAsia" w:hAnsi="Times New Roman" w:cs="Times New Roman"/>
                <w:color w:val="0070C0"/>
                <w:sz w:val="20"/>
                <w:szCs w:val="20"/>
              </w:rPr>
              <w:t>=</w:t>
            </w:r>
            <m:oMath>
              <m:sSub>
                <m:sSubPr>
                  <m:ctrlPr>
                    <w:rPr>
                      <w:rFonts w:ascii="Cambria Math" w:eastAsiaTheme="minorEastAsia" w:hAnsi="Cambria Math" w:cs="Times New Roman"/>
                      <w:color w:val="0070C0"/>
                      <w:sz w:val="20"/>
                      <w:szCs w:val="20"/>
                    </w:rPr>
                  </m:ctrlPr>
                </m:sSubPr>
                <m:e>
                  <m:r>
                    <m:rPr>
                      <m:sty m:val="p"/>
                    </m:rPr>
                    <w:rPr>
                      <w:rFonts w:ascii="Cambria Math" w:eastAsiaTheme="minorEastAsia" w:hAnsi="Cambria Math" w:cs="Times New Roman"/>
                      <w:color w:val="0070C0"/>
                      <w:sz w:val="20"/>
                      <w:szCs w:val="20"/>
                    </w:rPr>
                    <m:t>α</m:t>
                  </m:r>
                </m:e>
                <m:sub>
                  <m:r>
                    <m:rPr>
                      <m:sty m:val="p"/>
                    </m:rPr>
                    <w:rPr>
                      <w:rFonts w:ascii="Cambria Math" w:eastAsiaTheme="minorEastAsia" w:hAnsi="Cambria Math" w:cs="Times New Roman"/>
                      <w:color w:val="0070C0"/>
                      <w:sz w:val="20"/>
                      <w:szCs w:val="20"/>
                    </w:rPr>
                    <m:t>o</m:t>
                  </m:r>
                </m:sub>
              </m:sSub>
              <m:r>
                <m:rPr>
                  <m:sty m:val="p"/>
                </m:rPr>
                <w:rPr>
                  <w:rFonts w:ascii="Cambria Math" w:eastAsiaTheme="minorEastAsia" w:hAnsi="Cambria Math" w:cs="Times New Roman"/>
                  <w:color w:val="0070C0"/>
                  <w:sz w:val="20"/>
                  <w:szCs w:val="20"/>
                </w:rPr>
                <m:t>+</m:t>
              </m:r>
              <m:sSub>
                <m:sSubPr>
                  <m:ctrlPr>
                    <w:rPr>
                      <w:rFonts w:ascii="Cambria Math" w:eastAsiaTheme="minorEastAsia" w:hAnsi="Cambria Math" w:cs="Times New Roman"/>
                      <w:color w:val="0070C0"/>
                      <w:sz w:val="20"/>
                      <w:szCs w:val="20"/>
                    </w:rPr>
                  </m:ctrlPr>
                </m:sSubPr>
                <m:e>
                  <m:r>
                    <m:rPr>
                      <m:sty m:val="p"/>
                    </m:rPr>
                    <w:rPr>
                      <w:rFonts w:ascii="Cambria Math" w:eastAsiaTheme="minorEastAsia" w:hAnsi="Cambria Math" w:cs="Times New Roman"/>
                      <w:color w:val="0070C0"/>
                      <w:sz w:val="20"/>
                      <w:szCs w:val="20"/>
                    </w:rPr>
                    <m:t>β</m:t>
                  </m:r>
                </m:e>
                <m:sub>
                  <m:r>
                    <m:rPr>
                      <m:sty m:val="p"/>
                    </m:rPr>
                    <w:rPr>
                      <w:rFonts w:ascii="Cambria Math" w:eastAsiaTheme="minorEastAsia" w:hAnsi="Cambria Math" w:cs="Times New Roman"/>
                      <w:color w:val="0070C0"/>
                      <w:sz w:val="20"/>
                      <w:szCs w:val="20"/>
                    </w:rPr>
                    <m:t>1</m:t>
                  </m:r>
                </m:sub>
              </m:sSub>
              <m:sSubSup>
                <m:sSubSupPr>
                  <m:ctrlPr>
                    <w:rPr>
                      <w:rFonts w:ascii="Cambria Math" w:eastAsiaTheme="minorEastAsia" w:hAnsi="Cambria Math" w:cs="Times New Roman"/>
                      <w:color w:val="0070C0"/>
                      <w:sz w:val="20"/>
                      <w:szCs w:val="20"/>
                    </w:rPr>
                  </m:ctrlPr>
                </m:sSubSupPr>
                <m:e>
                  <m:r>
                    <m:rPr>
                      <m:sty m:val="p"/>
                    </m:rPr>
                    <w:rPr>
                      <w:rFonts w:ascii="Cambria Math" w:eastAsiaTheme="minorEastAsia" w:hAnsi="Cambria Math" w:cs="Times New Roman"/>
                      <w:color w:val="0070C0"/>
                      <w:sz w:val="20"/>
                      <w:szCs w:val="20"/>
                    </w:rPr>
                    <m:t>MgEbitda</m:t>
                  </m:r>
                </m:e>
                <m:sub>
                  <m:r>
                    <m:rPr>
                      <m:sty m:val="p"/>
                    </m:rPr>
                    <w:rPr>
                      <w:rFonts w:ascii="Cambria Math" w:eastAsiaTheme="minorEastAsia" w:hAnsi="Cambria Math" w:cs="Times New Roman"/>
                      <w:color w:val="0070C0"/>
                      <w:sz w:val="20"/>
                      <w:szCs w:val="20"/>
                    </w:rPr>
                    <m:t>I,t-1</m:t>
                  </m:r>
                </m:sub>
                <m:sup/>
              </m:sSubSup>
              <m:r>
                <m:rPr>
                  <m:sty m:val="p"/>
                </m:rPr>
                <w:rPr>
                  <w:rFonts w:ascii="Cambria Math" w:eastAsiaTheme="minorEastAsia" w:hAnsi="Cambria Math" w:cs="Times New Roman"/>
                  <w:color w:val="0070C0"/>
                  <w:sz w:val="20"/>
                  <w:szCs w:val="20"/>
                </w:rPr>
                <m:t>+</m:t>
              </m:r>
              <m:sSub>
                <m:sSubPr>
                  <m:ctrlPr>
                    <w:rPr>
                      <w:rFonts w:ascii="Cambria Math" w:eastAsiaTheme="minorEastAsia" w:hAnsi="Cambria Math" w:cs="Times New Roman"/>
                      <w:color w:val="0070C0"/>
                      <w:sz w:val="20"/>
                      <w:szCs w:val="20"/>
                    </w:rPr>
                  </m:ctrlPr>
                </m:sSubPr>
                <m:e>
                  <m:r>
                    <m:rPr>
                      <m:sty m:val="p"/>
                    </m:rPr>
                    <w:rPr>
                      <w:rFonts w:ascii="Cambria Math" w:eastAsiaTheme="minorEastAsia" w:hAnsi="Cambria Math" w:cs="Times New Roman"/>
                      <w:color w:val="0070C0"/>
                      <w:sz w:val="20"/>
                      <w:szCs w:val="20"/>
                    </w:rPr>
                    <m:t>β</m:t>
                  </m:r>
                </m:e>
                <m:sub>
                  <m:r>
                    <m:rPr>
                      <m:sty m:val="p"/>
                    </m:rPr>
                    <w:rPr>
                      <w:rFonts w:ascii="Cambria Math" w:eastAsiaTheme="minorEastAsia" w:hAnsi="Cambria Math" w:cs="Times New Roman"/>
                      <w:color w:val="0070C0"/>
                      <w:sz w:val="20"/>
                      <w:szCs w:val="20"/>
                    </w:rPr>
                    <m:t>2</m:t>
                  </m:r>
                </m:sub>
              </m:sSub>
              <m:sSubSup>
                <m:sSubSupPr>
                  <m:ctrlPr>
                    <w:rPr>
                      <w:rFonts w:ascii="Cambria Math" w:eastAsiaTheme="minorEastAsia" w:hAnsi="Cambria Math" w:cs="Times New Roman"/>
                      <w:color w:val="0070C0"/>
                      <w:sz w:val="20"/>
                      <w:szCs w:val="20"/>
                    </w:rPr>
                  </m:ctrlPr>
                </m:sSubSupPr>
                <m:e>
                  <m:r>
                    <m:rPr>
                      <m:sty m:val="p"/>
                    </m:rPr>
                    <w:rPr>
                      <w:rFonts w:ascii="Cambria Math" w:eastAsiaTheme="minorEastAsia" w:hAnsi="Cambria Math" w:cs="Times New Roman"/>
                      <w:color w:val="0070C0"/>
                      <w:sz w:val="20"/>
                      <w:szCs w:val="20"/>
                    </w:rPr>
                    <m:t>PM</m:t>
                  </m:r>
                </m:e>
                <m:sub>
                  <m:r>
                    <m:rPr>
                      <m:sty m:val="p"/>
                    </m:rPr>
                    <w:rPr>
                      <w:rFonts w:ascii="Cambria Math" w:eastAsiaTheme="minorEastAsia" w:hAnsi="Cambria Math" w:cs="Times New Roman"/>
                      <w:color w:val="0070C0"/>
                      <w:sz w:val="20"/>
                      <w:szCs w:val="20"/>
                    </w:rPr>
                    <m:t xml:space="preserve">It-1  </m:t>
                  </m:r>
                </m:sub>
                <m:sup/>
              </m:sSubSup>
              <m:r>
                <m:rPr>
                  <m:sty m:val="p"/>
                </m:rPr>
                <w:rPr>
                  <w:rFonts w:ascii="Cambria Math" w:eastAsiaTheme="minorEastAsia" w:hAnsi="Cambria Math" w:cs="Times New Roman"/>
                  <w:color w:val="0070C0"/>
                  <w:sz w:val="20"/>
                  <w:szCs w:val="20"/>
                </w:rPr>
                <m:t>+</m:t>
              </m:r>
              <m:sSub>
                <m:sSubPr>
                  <m:ctrlPr>
                    <w:rPr>
                      <w:rFonts w:ascii="Cambria Math" w:eastAsiaTheme="minorEastAsia" w:hAnsi="Cambria Math" w:cs="Times New Roman"/>
                      <w:color w:val="0070C0"/>
                      <w:sz w:val="20"/>
                      <w:szCs w:val="20"/>
                    </w:rPr>
                  </m:ctrlPr>
                </m:sSubPr>
                <m:e>
                  <m:r>
                    <m:rPr>
                      <m:sty m:val="p"/>
                    </m:rPr>
                    <w:rPr>
                      <w:rFonts w:ascii="Cambria Math" w:eastAsiaTheme="minorEastAsia" w:hAnsi="Cambria Math" w:cs="Times New Roman"/>
                      <w:color w:val="0070C0"/>
                      <w:sz w:val="20"/>
                      <w:szCs w:val="20"/>
                    </w:rPr>
                    <m:t>β</m:t>
                  </m:r>
                </m:e>
                <m:sub>
                  <m:r>
                    <m:rPr>
                      <m:sty m:val="p"/>
                    </m:rPr>
                    <w:rPr>
                      <w:rFonts w:ascii="Cambria Math" w:eastAsiaTheme="minorEastAsia" w:hAnsi="Cambria Math" w:cs="Times New Roman"/>
                      <w:color w:val="0070C0"/>
                      <w:sz w:val="20"/>
                      <w:szCs w:val="20"/>
                    </w:rPr>
                    <m:t>3</m:t>
                  </m:r>
                </m:sub>
              </m:sSub>
              <m:r>
                <m:rPr>
                  <m:sty m:val="p"/>
                </m:rPr>
                <w:rPr>
                  <w:rFonts w:ascii="Cambria Math" w:eastAsiaTheme="minorEastAsia" w:hAnsi="Cambria Math" w:cs="Times New Roman"/>
                  <w:color w:val="0070C0"/>
                  <w:sz w:val="20"/>
                  <w:szCs w:val="20"/>
                </w:rPr>
                <m:t xml:space="preserve"> </m:t>
              </m:r>
              <m:sSubSup>
                <m:sSubSupPr>
                  <m:ctrlPr>
                    <w:rPr>
                      <w:rFonts w:ascii="Cambria Math" w:eastAsiaTheme="minorEastAsia" w:hAnsi="Cambria Math" w:cs="Times New Roman"/>
                      <w:color w:val="0070C0"/>
                      <w:sz w:val="20"/>
                      <w:szCs w:val="20"/>
                    </w:rPr>
                  </m:ctrlPr>
                </m:sSubSupPr>
                <m:e>
                  <m:r>
                    <m:rPr>
                      <m:sty m:val="p"/>
                    </m:rPr>
                    <w:rPr>
                      <w:rFonts w:ascii="Cambria Math" w:eastAsiaTheme="minorEastAsia" w:hAnsi="Cambria Math" w:cs="Times New Roman"/>
                      <w:color w:val="0070C0"/>
                      <w:sz w:val="20"/>
                      <w:szCs w:val="20"/>
                    </w:rPr>
                    <m:t>AR</m:t>
                  </m:r>
                </m:e>
                <m:sub>
                  <m:r>
                    <m:rPr>
                      <m:sty m:val="p"/>
                    </m:rPr>
                    <w:rPr>
                      <w:rFonts w:ascii="Cambria Math" w:eastAsiaTheme="minorEastAsia" w:hAnsi="Cambria Math" w:cs="Times New Roman"/>
                      <w:color w:val="0070C0"/>
                      <w:sz w:val="20"/>
                      <w:szCs w:val="20"/>
                    </w:rPr>
                    <m:t>I,t</m:t>
                  </m:r>
                </m:sub>
                <m:sup/>
              </m:sSubSup>
              <m:r>
                <m:rPr>
                  <m:sty m:val="p"/>
                </m:rPr>
                <w:rPr>
                  <w:rFonts w:ascii="Cambria Math" w:eastAsiaTheme="minorEastAsia" w:hAnsi="Cambria Math" w:cs="Times New Roman"/>
                  <w:color w:val="0070C0"/>
                  <w:sz w:val="20"/>
                  <w:szCs w:val="20"/>
                </w:rPr>
                <m:t>+</m:t>
              </m:r>
              <m:sSub>
                <m:sSubPr>
                  <m:ctrlPr>
                    <w:rPr>
                      <w:rFonts w:ascii="Cambria Math" w:eastAsiaTheme="minorEastAsia" w:hAnsi="Cambria Math" w:cs="Times New Roman"/>
                      <w:color w:val="0070C0"/>
                      <w:sz w:val="20"/>
                      <w:szCs w:val="20"/>
                    </w:rPr>
                  </m:ctrlPr>
                </m:sSubPr>
                <m:e>
                  <m:r>
                    <m:rPr>
                      <m:sty m:val="p"/>
                    </m:rPr>
                    <w:rPr>
                      <w:rFonts w:ascii="Cambria Math" w:eastAsiaTheme="minorEastAsia" w:hAnsi="Cambria Math" w:cs="Times New Roman"/>
                      <w:color w:val="0070C0"/>
                      <w:sz w:val="20"/>
                      <w:szCs w:val="20"/>
                    </w:rPr>
                    <m:t>β</m:t>
                  </m:r>
                </m:e>
                <m:sub>
                  <m:r>
                    <m:rPr>
                      <m:sty m:val="p"/>
                    </m:rPr>
                    <w:rPr>
                      <w:rFonts w:ascii="Cambria Math" w:eastAsiaTheme="minorEastAsia" w:hAnsi="Cambria Math" w:cs="Times New Roman"/>
                      <w:color w:val="0070C0"/>
                      <w:sz w:val="20"/>
                      <w:szCs w:val="20"/>
                    </w:rPr>
                    <m:t>4</m:t>
                  </m:r>
                </m:sub>
              </m:sSub>
              <m:r>
                <m:rPr>
                  <m:sty m:val="p"/>
                </m:rPr>
                <w:rPr>
                  <w:rFonts w:ascii="Cambria Math" w:eastAsiaTheme="minorEastAsia" w:hAnsi="Cambria Math" w:cs="Times New Roman"/>
                  <w:color w:val="0070C0"/>
                  <w:sz w:val="20"/>
                  <w:szCs w:val="20"/>
                </w:rPr>
                <m:t xml:space="preserve"> </m:t>
              </m:r>
              <m:sSubSup>
                <m:sSubSupPr>
                  <m:ctrlPr>
                    <w:rPr>
                      <w:rFonts w:ascii="Cambria Math" w:eastAsiaTheme="minorEastAsia" w:hAnsi="Cambria Math" w:cs="Times New Roman"/>
                      <w:color w:val="0070C0"/>
                      <w:sz w:val="20"/>
                      <w:szCs w:val="20"/>
                    </w:rPr>
                  </m:ctrlPr>
                </m:sSubSupPr>
                <m:e>
                  <m:r>
                    <m:rPr>
                      <m:sty m:val="p"/>
                    </m:rPr>
                    <w:rPr>
                      <w:rFonts w:ascii="Cambria Math" w:eastAsiaTheme="minorEastAsia" w:hAnsi="Cambria Math" w:cs="Times New Roman"/>
                      <w:color w:val="0070C0"/>
                      <w:sz w:val="20"/>
                      <w:szCs w:val="20"/>
                    </w:rPr>
                    <m:t>TTM</m:t>
                  </m:r>
                </m:e>
                <m:sub>
                  <m:r>
                    <m:rPr>
                      <m:sty m:val="p"/>
                    </m:rPr>
                    <w:rPr>
                      <w:rFonts w:ascii="Cambria Math" w:eastAsiaTheme="minorEastAsia" w:hAnsi="Cambria Math" w:cs="Times New Roman"/>
                      <w:color w:val="0070C0"/>
                      <w:sz w:val="20"/>
                      <w:szCs w:val="20"/>
                    </w:rPr>
                    <m:t>I,t</m:t>
                  </m:r>
                </m:sub>
                <m:sup/>
              </m:sSubSup>
              <m:r>
                <m:rPr>
                  <m:sty m:val="p"/>
                </m:rPr>
                <w:rPr>
                  <w:rFonts w:ascii="Cambria Math" w:eastAsiaTheme="minorEastAsia" w:hAnsi="Cambria Math" w:cs="Times New Roman"/>
                  <w:color w:val="0070C0"/>
                  <w:sz w:val="20"/>
                  <w:szCs w:val="20"/>
                </w:rPr>
                <m:t xml:space="preserve">+ </m:t>
              </m:r>
              <m:sSub>
                <m:sSubPr>
                  <m:ctrlPr>
                    <w:rPr>
                      <w:rFonts w:ascii="Cambria Math" w:eastAsiaTheme="minorEastAsia" w:hAnsi="Cambria Math" w:cs="Times New Roman"/>
                      <w:color w:val="0070C0"/>
                      <w:sz w:val="20"/>
                      <w:szCs w:val="20"/>
                    </w:rPr>
                  </m:ctrlPr>
                </m:sSubPr>
                <m:e>
                  <m:r>
                    <m:rPr>
                      <m:sty m:val="p"/>
                    </m:rPr>
                    <w:rPr>
                      <w:rFonts w:ascii="Cambria Math" w:eastAsiaTheme="minorEastAsia" w:hAnsi="Cambria Math" w:cs="Times New Roman"/>
                      <w:color w:val="0070C0"/>
                      <w:sz w:val="20"/>
                      <w:szCs w:val="20"/>
                    </w:rPr>
                    <m:t>K</m:t>
                  </m:r>
                </m:e>
                <m:sub>
                  <m:r>
                    <m:rPr>
                      <m:sty m:val="p"/>
                    </m:rPr>
                    <w:rPr>
                      <w:rFonts w:ascii="Cambria Math" w:eastAsiaTheme="minorEastAsia" w:hAnsi="Cambria Math" w:cs="Times New Roman"/>
                      <w:color w:val="0070C0"/>
                      <w:sz w:val="20"/>
                      <w:szCs w:val="20"/>
                    </w:rPr>
                    <m:t>t</m:t>
                  </m:r>
                </m:sub>
              </m:sSub>
              <m:r>
                <m:rPr>
                  <m:sty m:val="p"/>
                </m:rPr>
                <w:rPr>
                  <w:rFonts w:ascii="Cambria Math" w:eastAsiaTheme="minorEastAsia" w:hAnsi="Cambria Math" w:cs="Times New Roman"/>
                  <w:color w:val="0070C0"/>
                  <w:sz w:val="20"/>
                  <w:szCs w:val="20"/>
                </w:rPr>
                <m:t>+</m:t>
              </m:r>
              <m:sSub>
                <m:sSubPr>
                  <m:ctrlPr>
                    <w:rPr>
                      <w:rFonts w:ascii="Cambria Math" w:eastAsiaTheme="minorEastAsia" w:hAnsi="Cambria Math" w:cs="Times New Roman"/>
                      <w:color w:val="0070C0"/>
                      <w:sz w:val="20"/>
                      <w:szCs w:val="20"/>
                    </w:rPr>
                  </m:ctrlPr>
                </m:sSubPr>
                <m:e>
                  <m:r>
                    <m:rPr>
                      <m:sty m:val="p"/>
                    </m:rPr>
                    <w:rPr>
                      <w:rFonts w:ascii="Cambria Math" w:eastAsiaTheme="minorEastAsia" w:hAnsi="Cambria Math" w:cs="Times New Roman"/>
                      <w:color w:val="0070C0"/>
                      <w:sz w:val="20"/>
                      <w:szCs w:val="20"/>
                    </w:rPr>
                    <m:t>e</m:t>
                  </m:r>
                </m:e>
                <m:sub>
                  <m:r>
                    <m:rPr>
                      <m:sty m:val="p"/>
                    </m:rPr>
                    <w:rPr>
                      <w:rFonts w:ascii="Cambria Math" w:eastAsiaTheme="minorEastAsia" w:hAnsi="Cambria Math" w:cs="Times New Roman"/>
                      <w:color w:val="0070C0"/>
                      <w:sz w:val="20"/>
                      <w:szCs w:val="20"/>
                    </w:rPr>
                    <m:t>t</m:t>
                  </m:r>
                </m:sub>
              </m:sSub>
            </m:oMath>
          </w:p>
          <w:p w:rsidR="00CC5215" w:rsidRDefault="0026031C" w:rsidP="00915B7F">
            <w:pPr>
              <w:pStyle w:val="Prrafodelista"/>
              <w:widowControl w:val="0"/>
              <w:numPr>
                <w:ilvl w:val="0"/>
                <w:numId w:val="40"/>
              </w:numPr>
              <w:autoSpaceDE w:val="0"/>
              <w:autoSpaceDN w:val="0"/>
              <w:adjustRightInd w:val="0"/>
              <w:spacing w:after="120"/>
              <w:ind w:left="357" w:hanging="357"/>
              <w:rPr>
                <w:rFonts w:ascii="Times New Roman" w:eastAsiaTheme="minorEastAsia" w:hAnsi="Times New Roman" w:cs="Times New Roman"/>
                <w:color w:val="0070C0"/>
                <w:sz w:val="20"/>
                <w:szCs w:val="20"/>
              </w:rPr>
            </w:pPr>
            <m:oMath>
              <m:sSubSup>
                <m:sSubSupPr>
                  <m:ctrlPr>
                    <w:rPr>
                      <w:rFonts w:ascii="Cambria Math" w:hAnsi="Cambria Math" w:cs="Times New Roman"/>
                      <w:color w:val="0070C0"/>
                      <w:sz w:val="20"/>
                      <w:szCs w:val="20"/>
                    </w:rPr>
                  </m:ctrlPr>
                </m:sSubSupPr>
                <m:e>
                  <m:r>
                    <m:rPr>
                      <m:sty m:val="p"/>
                    </m:rPr>
                    <w:rPr>
                      <w:rFonts w:ascii="Cambria Math" w:hAnsi="Cambria Math" w:cs="Times New Roman"/>
                      <w:color w:val="0070C0"/>
                      <w:sz w:val="20"/>
                      <w:szCs w:val="20"/>
                    </w:rPr>
                    <m:t>PM</m:t>
                  </m:r>
                </m:e>
                <m:sub>
                  <m:r>
                    <m:rPr>
                      <m:sty m:val="p"/>
                    </m:rPr>
                    <w:rPr>
                      <w:rFonts w:ascii="Cambria Math" w:hAnsi="Cambria Math" w:cs="Times New Roman"/>
                      <w:color w:val="0070C0"/>
                      <w:sz w:val="20"/>
                      <w:szCs w:val="20"/>
                    </w:rPr>
                    <m:t>It</m:t>
                  </m:r>
                </m:sub>
                <m:sup/>
              </m:sSubSup>
            </m:oMath>
            <w:r w:rsidR="00CC5215" w:rsidRPr="008B591B">
              <w:rPr>
                <w:rFonts w:ascii="Times New Roman" w:eastAsiaTheme="minorEastAsia" w:hAnsi="Times New Roman" w:cs="Times New Roman"/>
                <w:color w:val="0070C0"/>
                <w:sz w:val="20"/>
                <w:szCs w:val="20"/>
              </w:rPr>
              <w:t>=</w:t>
            </w:r>
            <m:oMath>
              <m:sSub>
                <m:sSubPr>
                  <m:ctrlPr>
                    <w:rPr>
                      <w:rFonts w:ascii="Cambria Math" w:eastAsiaTheme="minorEastAsia" w:hAnsi="Cambria Math" w:cs="Times New Roman"/>
                      <w:color w:val="0070C0"/>
                      <w:sz w:val="20"/>
                      <w:szCs w:val="20"/>
                    </w:rPr>
                  </m:ctrlPr>
                </m:sSubPr>
                <m:e>
                  <m:r>
                    <m:rPr>
                      <m:sty m:val="p"/>
                    </m:rPr>
                    <w:rPr>
                      <w:rFonts w:ascii="Cambria Math" w:eastAsiaTheme="minorEastAsia" w:hAnsi="Cambria Math" w:cs="Times New Roman"/>
                      <w:color w:val="0070C0"/>
                      <w:sz w:val="20"/>
                      <w:szCs w:val="20"/>
                    </w:rPr>
                    <m:t>α</m:t>
                  </m:r>
                </m:e>
                <m:sub>
                  <m:r>
                    <m:rPr>
                      <m:sty m:val="p"/>
                    </m:rPr>
                    <w:rPr>
                      <w:rFonts w:ascii="Cambria Math" w:eastAsiaTheme="minorEastAsia" w:hAnsi="Cambria Math" w:cs="Times New Roman"/>
                      <w:color w:val="0070C0"/>
                      <w:sz w:val="20"/>
                      <w:szCs w:val="20"/>
                    </w:rPr>
                    <m:t>o</m:t>
                  </m:r>
                </m:sub>
              </m:sSub>
              <m:r>
                <m:rPr>
                  <m:sty m:val="p"/>
                </m:rPr>
                <w:rPr>
                  <w:rFonts w:ascii="Cambria Math" w:eastAsiaTheme="minorEastAsia" w:hAnsi="Cambria Math" w:cs="Times New Roman"/>
                  <w:color w:val="0070C0"/>
                  <w:sz w:val="20"/>
                  <w:szCs w:val="20"/>
                </w:rPr>
                <m:t xml:space="preserve"> </m:t>
              </m:r>
              <m:sSub>
                <m:sSubPr>
                  <m:ctrlPr>
                    <w:rPr>
                      <w:rFonts w:ascii="Cambria Math" w:eastAsiaTheme="minorEastAsia" w:hAnsi="Cambria Math" w:cs="Times New Roman"/>
                      <w:color w:val="0070C0"/>
                      <w:sz w:val="20"/>
                      <w:szCs w:val="20"/>
                    </w:rPr>
                  </m:ctrlPr>
                </m:sSubPr>
                <m:e>
                  <m:r>
                    <m:rPr>
                      <m:sty m:val="p"/>
                    </m:rPr>
                    <w:rPr>
                      <w:rFonts w:ascii="Cambria Math" w:eastAsiaTheme="minorEastAsia" w:hAnsi="Cambria Math" w:cs="Times New Roman"/>
                      <w:color w:val="0070C0"/>
                      <w:sz w:val="20"/>
                      <w:szCs w:val="20"/>
                    </w:rPr>
                    <m:t>+β</m:t>
                  </m:r>
                </m:e>
                <m:sub>
                  <m:r>
                    <m:rPr>
                      <m:sty m:val="p"/>
                    </m:rPr>
                    <w:rPr>
                      <w:rFonts w:ascii="Cambria Math" w:eastAsiaTheme="minorEastAsia" w:hAnsi="Cambria Math" w:cs="Times New Roman"/>
                      <w:color w:val="0070C0"/>
                      <w:sz w:val="20"/>
                      <w:szCs w:val="20"/>
                    </w:rPr>
                    <m:t>1</m:t>
                  </m:r>
                </m:sub>
              </m:sSub>
              <m:sSubSup>
                <m:sSubSupPr>
                  <m:ctrlPr>
                    <w:rPr>
                      <w:rFonts w:ascii="Cambria Math" w:eastAsiaTheme="minorEastAsia" w:hAnsi="Cambria Math" w:cs="Times New Roman"/>
                      <w:color w:val="0070C0"/>
                      <w:sz w:val="20"/>
                      <w:szCs w:val="20"/>
                    </w:rPr>
                  </m:ctrlPr>
                </m:sSubSupPr>
                <m:e>
                  <m:r>
                    <m:rPr>
                      <m:sty m:val="p"/>
                    </m:rPr>
                    <w:rPr>
                      <w:rFonts w:ascii="Cambria Math" w:eastAsiaTheme="minorEastAsia" w:hAnsi="Cambria Math" w:cs="Times New Roman"/>
                      <w:color w:val="0070C0"/>
                      <w:sz w:val="20"/>
                      <w:szCs w:val="20"/>
                    </w:rPr>
                    <m:t>MgEbitda</m:t>
                  </m:r>
                </m:e>
                <m:sub>
                  <m:r>
                    <m:rPr>
                      <m:sty m:val="p"/>
                    </m:rPr>
                    <w:rPr>
                      <w:rFonts w:ascii="Cambria Math" w:eastAsiaTheme="minorEastAsia" w:hAnsi="Cambria Math" w:cs="Times New Roman"/>
                      <w:color w:val="0070C0"/>
                      <w:sz w:val="20"/>
                      <w:szCs w:val="20"/>
                    </w:rPr>
                    <m:t>I,t-1</m:t>
                  </m:r>
                </m:sub>
                <m:sup/>
              </m:sSubSup>
              <m:r>
                <m:rPr>
                  <m:sty m:val="p"/>
                </m:rPr>
                <w:rPr>
                  <w:rFonts w:ascii="Cambria Math" w:eastAsiaTheme="minorEastAsia" w:hAnsi="Cambria Math" w:cs="Times New Roman"/>
                  <w:color w:val="0070C0"/>
                  <w:sz w:val="20"/>
                  <w:szCs w:val="20"/>
                </w:rPr>
                <m:t>+</m:t>
              </m:r>
              <m:sSub>
                <m:sSubPr>
                  <m:ctrlPr>
                    <w:rPr>
                      <w:rFonts w:ascii="Cambria Math" w:eastAsiaTheme="minorEastAsia" w:hAnsi="Cambria Math" w:cs="Times New Roman"/>
                      <w:color w:val="0070C0"/>
                      <w:sz w:val="20"/>
                      <w:szCs w:val="20"/>
                    </w:rPr>
                  </m:ctrlPr>
                </m:sSubPr>
                <m:e>
                  <m:r>
                    <m:rPr>
                      <m:sty m:val="p"/>
                    </m:rPr>
                    <w:rPr>
                      <w:rFonts w:ascii="Cambria Math" w:eastAsiaTheme="minorEastAsia" w:hAnsi="Cambria Math" w:cs="Times New Roman"/>
                      <w:color w:val="0070C0"/>
                      <w:sz w:val="20"/>
                      <w:szCs w:val="20"/>
                    </w:rPr>
                    <m:t>β</m:t>
                  </m:r>
                </m:e>
                <m:sub>
                  <m:r>
                    <m:rPr>
                      <m:sty m:val="p"/>
                    </m:rPr>
                    <w:rPr>
                      <w:rFonts w:ascii="Cambria Math" w:eastAsiaTheme="minorEastAsia" w:hAnsi="Cambria Math" w:cs="Times New Roman"/>
                      <w:color w:val="0070C0"/>
                      <w:sz w:val="20"/>
                      <w:szCs w:val="20"/>
                    </w:rPr>
                    <m:t>2</m:t>
                  </m:r>
                </m:sub>
              </m:sSub>
              <m:sSubSup>
                <m:sSubSupPr>
                  <m:ctrlPr>
                    <w:rPr>
                      <w:rFonts w:ascii="Cambria Math" w:eastAsiaTheme="minorEastAsia" w:hAnsi="Cambria Math" w:cs="Times New Roman"/>
                      <w:color w:val="0070C0"/>
                      <w:sz w:val="20"/>
                      <w:szCs w:val="20"/>
                    </w:rPr>
                  </m:ctrlPr>
                </m:sSubSupPr>
                <m:e>
                  <m:r>
                    <m:rPr>
                      <m:sty m:val="p"/>
                    </m:rPr>
                    <w:rPr>
                      <w:rFonts w:ascii="Cambria Math" w:eastAsiaTheme="minorEastAsia" w:hAnsi="Cambria Math" w:cs="Times New Roman"/>
                      <w:color w:val="0070C0"/>
                      <w:sz w:val="20"/>
                      <w:szCs w:val="20"/>
                    </w:rPr>
                    <m:t>PM</m:t>
                  </m:r>
                </m:e>
                <m:sub>
                  <m:r>
                    <m:rPr>
                      <m:sty m:val="p"/>
                    </m:rPr>
                    <w:rPr>
                      <w:rFonts w:ascii="Cambria Math" w:eastAsiaTheme="minorEastAsia" w:hAnsi="Cambria Math" w:cs="Times New Roman"/>
                      <w:color w:val="0070C0"/>
                      <w:sz w:val="20"/>
                      <w:szCs w:val="20"/>
                    </w:rPr>
                    <m:t xml:space="preserve">It-1  </m:t>
                  </m:r>
                </m:sub>
                <m:sup/>
              </m:sSubSup>
              <m:r>
                <m:rPr>
                  <m:sty m:val="p"/>
                </m:rPr>
                <w:rPr>
                  <w:rFonts w:ascii="Cambria Math" w:eastAsiaTheme="minorEastAsia" w:hAnsi="Cambria Math" w:cs="Times New Roman"/>
                  <w:color w:val="0070C0"/>
                  <w:sz w:val="20"/>
                  <w:szCs w:val="20"/>
                </w:rPr>
                <m:t>+</m:t>
              </m:r>
              <m:sSub>
                <m:sSubPr>
                  <m:ctrlPr>
                    <w:rPr>
                      <w:rFonts w:ascii="Cambria Math" w:eastAsiaTheme="minorEastAsia" w:hAnsi="Cambria Math" w:cs="Times New Roman"/>
                      <w:color w:val="0070C0"/>
                      <w:sz w:val="20"/>
                      <w:szCs w:val="20"/>
                    </w:rPr>
                  </m:ctrlPr>
                </m:sSubPr>
                <m:e>
                  <m:r>
                    <m:rPr>
                      <m:sty m:val="p"/>
                    </m:rPr>
                    <w:rPr>
                      <w:rFonts w:ascii="Cambria Math" w:eastAsiaTheme="minorEastAsia" w:hAnsi="Cambria Math" w:cs="Times New Roman"/>
                      <w:color w:val="0070C0"/>
                      <w:sz w:val="20"/>
                      <w:szCs w:val="20"/>
                    </w:rPr>
                    <m:t>β</m:t>
                  </m:r>
                </m:e>
                <m:sub>
                  <m:r>
                    <m:rPr>
                      <m:sty m:val="p"/>
                    </m:rPr>
                    <w:rPr>
                      <w:rFonts w:ascii="Cambria Math" w:eastAsiaTheme="minorEastAsia" w:hAnsi="Cambria Math" w:cs="Times New Roman"/>
                      <w:color w:val="0070C0"/>
                      <w:sz w:val="20"/>
                      <w:szCs w:val="20"/>
                    </w:rPr>
                    <m:t>3</m:t>
                  </m:r>
                </m:sub>
              </m:sSub>
              <m:r>
                <m:rPr>
                  <m:sty m:val="p"/>
                </m:rPr>
                <w:rPr>
                  <w:rFonts w:ascii="Cambria Math" w:eastAsiaTheme="minorEastAsia" w:hAnsi="Cambria Math" w:cs="Times New Roman"/>
                  <w:color w:val="0070C0"/>
                  <w:sz w:val="20"/>
                  <w:szCs w:val="20"/>
                </w:rPr>
                <m:t xml:space="preserve"> </m:t>
              </m:r>
              <m:sSubSup>
                <m:sSubSupPr>
                  <m:ctrlPr>
                    <w:rPr>
                      <w:rFonts w:ascii="Cambria Math" w:eastAsiaTheme="minorEastAsia" w:hAnsi="Cambria Math" w:cs="Times New Roman"/>
                      <w:color w:val="0070C0"/>
                      <w:sz w:val="20"/>
                      <w:szCs w:val="20"/>
                    </w:rPr>
                  </m:ctrlPr>
                </m:sSubSupPr>
                <m:e>
                  <m:r>
                    <m:rPr>
                      <m:sty m:val="p"/>
                    </m:rPr>
                    <w:rPr>
                      <w:rFonts w:ascii="Cambria Math" w:eastAsiaTheme="minorEastAsia" w:hAnsi="Cambria Math" w:cs="Times New Roman"/>
                      <w:color w:val="0070C0"/>
                      <w:sz w:val="20"/>
                      <w:szCs w:val="20"/>
                    </w:rPr>
                    <m:t>AR</m:t>
                  </m:r>
                </m:e>
                <m:sub>
                  <m:r>
                    <m:rPr>
                      <m:sty m:val="p"/>
                    </m:rPr>
                    <w:rPr>
                      <w:rFonts w:ascii="Cambria Math" w:eastAsiaTheme="minorEastAsia" w:hAnsi="Cambria Math" w:cs="Times New Roman"/>
                      <w:color w:val="0070C0"/>
                      <w:sz w:val="20"/>
                      <w:szCs w:val="20"/>
                    </w:rPr>
                    <m:t>I,t</m:t>
                  </m:r>
                </m:sub>
                <m:sup/>
              </m:sSubSup>
              <m:r>
                <m:rPr>
                  <m:sty m:val="p"/>
                </m:rPr>
                <w:rPr>
                  <w:rFonts w:ascii="Cambria Math" w:eastAsiaTheme="minorEastAsia" w:hAnsi="Cambria Math" w:cs="Times New Roman"/>
                  <w:color w:val="0070C0"/>
                  <w:sz w:val="20"/>
                  <w:szCs w:val="20"/>
                </w:rPr>
                <m:t>+</m:t>
              </m:r>
              <m:sSub>
                <m:sSubPr>
                  <m:ctrlPr>
                    <w:rPr>
                      <w:rFonts w:ascii="Cambria Math" w:eastAsiaTheme="minorEastAsia" w:hAnsi="Cambria Math" w:cs="Times New Roman"/>
                      <w:color w:val="0070C0"/>
                      <w:sz w:val="20"/>
                      <w:szCs w:val="20"/>
                    </w:rPr>
                  </m:ctrlPr>
                </m:sSubPr>
                <m:e>
                  <m:r>
                    <m:rPr>
                      <m:sty m:val="p"/>
                    </m:rPr>
                    <w:rPr>
                      <w:rFonts w:ascii="Cambria Math" w:eastAsiaTheme="minorEastAsia" w:hAnsi="Cambria Math" w:cs="Times New Roman"/>
                      <w:color w:val="0070C0"/>
                      <w:sz w:val="20"/>
                      <w:szCs w:val="20"/>
                    </w:rPr>
                    <m:t>β</m:t>
                  </m:r>
                </m:e>
                <m:sub>
                  <m:r>
                    <m:rPr>
                      <m:sty m:val="p"/>
                    </m:rPr>
                    <w:rPr>
                      <w:rFonts w:ascii="Cambria Math" w:eastAsiaTheme="minorEastAsia" w:hAnsi="Cambria Math" w:cs="Times New Roman"/>
                      <w:color w:val="0070C0"/>
                      <w:sz w:val="20"/>
                      <w:szCs w:val="20"/>
                    </w:rPr>
                    <m:t>4</m:t>
                  </m:r>
                </m:sub>
              </m:sSub>
              <m:r>
                <m:rPr>
                  <m:sty m:val="p"/>
                </m:rPr>
                <w:rPr>
                  <w:rFonts w:ascii="Cambria Math" w:eastAsiaTheme="minorEastAsia" w:hAnsi="Cambria Math" w:cs="Times New Roman"/>
                  <w:color w:val="0070C0"/>
                  <w:sz w:val="20"/>
                  <w:szCs w:val="20"/>
                </w:rPr>
                <m:t xml:space="preserve"> </m:t>
              </m:r>
              <m:sSubSup>
                <m:sSubSupPr>
                  <m:ctrlPr>
                    <w:rPr>
                      <w:rFonts w:ascii="Cambria Math" w:eastAsiaTheme="minorEastAsia" w:hAnsi="Cambria Math" w:cs="Times New Roman"/>
                      <w:color w:val="0070C0"/>
                      <w:sz w:val="20"/>
                      <w:szCs w:val="20"/>
                    </w:rPr>
                  </m:ctrlPr>
                </m:sSubSupPr>
                <m:e>
                  <m:r>
                    <m:rPr>
                      <m:sty m:val="p"/>
                    </m:rPr>
                    <w:rPr>
                      <w:rFonts w:ascii="Cambria Math" w:eastAsiaTheme="minorEastAsia" w:hAnsi="Cambria Math" w:cs="Times New Roman"/>
                      <w:color w:val="0070C0"/>
                      <w:sz w:val="20"/>
                      <w:szCs w:val="20"/>
                    </w:rPr>
                    <m:t>TTM</m:t>
                  </m:r>
                </m:e>
                <m:sub>
                  <m:r>
                    <m:rPr>
                      <m:sty m:val="p"/>
                    </m:rPr>
                    <w:rPr>
                      <w:rFonts w:ascii="Cambria Math" w:eastAsiaTheme="minorEastAsia" w:hAnsi="Cambria Math" w:cs="Times New Roman"/>
                      <w:color w:val="0070C0"/>
                      <w:sz w:val="20"/>
                      <w:szCs w:val="20"/>
                    </w:rPr>
                    <m:t>I,t</m:t>
                  </m:r>
                </m:sub>
                <m:sup/>
              </m:sSubSup>
              <m:r>
                <m:rPr>
                  <m:sty m:val="p"/>
                </m:rPr>
                <w:rPr>
                  <w:rFonts w:ascii="Cambria Math" w:eastAsiaTheme="minorEastAsia" w:hAnsi="Cambria Math" w:cs="Times New Roman"/>
                  <w:color w:val="0070C0"/>
                  <w:sz w:val="20"/>
                  <w:szCs w:val="20"/>
                </w:rPr>
                <m:t xml:space="preserve">+ </m:t>
              </m:r>
              <m:sSub>
                <m:sSubPr>
                  <m:ctrlPr>
                    <w:rPr>
                      <w:rFonts w:ascii="Cambria Math" w:eastAsiaTheme="minorEastAsia" w:hAnsi="Cambria Math" w:cs="Times New Roman"/>
                      <w:color w:val="0070C0"/>
                      <w:sz w:val="20"/>
                      <w:szCs w:val="20"/>
                    </w:rPr>
                  </m:ctrlPr>
                </m:sSubPr>
                <m:e>
                  <m:r>
                    <m:rPr>
                      <m:sty m:val="p"/>
                    </m:rPr>
                    <w:rPr>
                      <w:rFonts w:ascii="Cambria Math" w:eastAsiaTheme="minorEastAsia" w:hAnsi="Cambria Math" w:cs="Times New Roman"/>
                      <w:color w:val="0070C0"/>
                      <w:sz w:val="20"/>
                      <w:szCs w:val="20"/>
                    </w:rPr>
                    <m:t>K</m:t>
                  </m:r>
                </m:e>
                <m:sub>
                  <m:r>
                    <m:rPr>
                      <m:sty m:val="p"/>
                    </m:rPr>
                    <w:rPr>
                      <w:rFonts w:ascii="Cambria Math" w:eastAsiaTheme="minorEastAsia" w:hAnsi="Cambria Math" w:cs="Times New Roman"/>
                      <w:color w:val="0070C0"/>
                      <w:sz w:val="20"/>
                      <w:szCs w:val="20"/>
                    </w:rPr>
                    <m:t>t</m:t>
                  </m:r>
                </m:sub>
              </m:sSub>
              <m:r>
                <m:rPr>
                  <m:sty m:val="p"/>
                </m:rPr>
                <w:rPr>
                  <w:rFonts w:ascii="Cambria Math" w:eastAsiaTheme="minorEastAsia" w:hAnsi="Cambria Math" w:cs="Times New Roman"/>
                  <w:color w:val="0070C0"/>
                  <w:sz w:val="20"/>
                  <w:szCs w:val="20"/>
                </w:rPr>
                <m:t>+</m:t>
              </m:r>
              <m:sSub>
                <m:sSubPr>
                  <m:ctrlPr>
                    <w:rPr>
                      <w:rFonts w:ascii="Cambria Math" w:eastAsiaTheme="minorEastAsia" w:hAnsi="Cambria Math" w:cs="Times New Roman"/>
                      <w:color w:val="0070C0"/>
                      <w:sz w:val="20"/>
                      <w:szCs w:val="20"/>
                    </w:rPr>
                  </m:ctrlPr>
                </m:sSubPr>
                <m:e>
                  <m:r>
                    <m:rPr>
                      <m:sty m:val="p"/>
                    </m:rPr>
                    <w:rPr>
                      <w:rFonts w:ascii="Cambria Math" w:eastAsiaTheme="minorEastAsia" w:hAnsi="Cambria Math" w:cs="Times New Roman"/>
                      <w:color w:val="0070C0"/>
                      <w:sz w:val="20"/>
                      <w:szCs w:val="20"/>
                    </w:rPr>
                    <m:t>e</m:t>
                  </m:r>
                </m:e>
                <m:sub>
                  <m:r>
                    <m:rPr>
                      <m:sty m:val="p"/>
                    </m:rPr>
                    <w:rPr>
                      <w:rFonts w:ascii="Cambria Math" w:eastAsiaTheme="minorEastAsia" w:hAnsi="Cambria Math" w:cs="Times New Roman"/>
                      <w:color w:val="0070C0"/>
                      <w:sz w:val="20"/>
                      <w:szCs w:val="20"/>
                    </w:rPr>
                    <m:t>t</m:t>
                  </m:r>
                </m:sub>
              </m:sSub>
            </m:oMath>
          </w:p>
          <w:p w:rsidR="00036115" w:rsidRPr="008B591B" w:rsidRDefault="00036115" w:rsidP="00036115">
            <w:pPr>
              <w:pStyle w:val="Prrafodelista"/>
              <w:widowControl w:val="0"/>
              <w:autoSpaceDE w:val="0"/>
              <w:autoSpaceDN w:val="0"/>
              <w:adjustRightInd w:val="0"/>
              <w:spacing w:after="120"/>
              <w:ind w:left="357"/>
              <w:rPr>
                <w:rFonts w:ascii="Times New Roman" w:eastAsiaTheme="minorEastAsia" w:hAnsi="Times New Roman" w:cs="Times New Roman"/>
                <w:color w:val="0070C0"/>
                <w:sz w:val="20"/>
                <w:szCs w:val="20"/>
              </w:rPr>
            </w:pPr>
          </w:p>
          <w:p w:rsidR="00B7545B" w:rsidRPr="00036115" w:rsidRDefault="00B7545B" w:rsidP="00915B7F">
            <w:pPr>
              <w:pStyle w:val="Prrafodelista"/>
              <w:widowControl w:val="0"/>
              <w:autoSpaceDE w:val="0"/>
              <w:autoSpaceDN w:val="0"/>
              <w:adjustRightInd w:val="0"/>
              <w:spacing w:after="120"/>
              <w:ind w:left="0"/>
              <w:rPr>
                <w:rFonts w:ascii="Times New Roman" w:eastAsiaTheme="minorEastAsia" w:hAnsi="Times New Roman" w:cs="Times New Roman"/>
                <w:b/>
                <w:color w:val="000000" w:themeColor="text1"/>
                <w:sz w:val="20"/>
                <w:szCs w:val="20"/>
              </w:rPr>
            </w:pPr>
            <m:oMathPara>
              <m:oMathParaPr>
                <m:jc m:val="left"/>
              </m:oMathParaPr>
              <m:oMath>
                <m:r>
                  <m:rPr>
                    <m:sty m:val="bi"/>
                  </m:rPr>
                  <w:rPr>
                    <w:rFonts w:ascii="Cambria Math" w:hAnsi="Cambria Math" w:cs="Times New Roman"/>
                    <w:color w:val="000000" w:themeColor="text1"/>
                    <w:sz w:val="20"/>
                    <w:szCs w:val="20"/>
                  </w:rPr>
                  <m:t>Para los Entrantes:</m:t>
                </m:r>
              </m:oMath>
            </m:oMathPara>
          </w:p>
          <w:p w:rsidR="00036115" w:rsidRPr="008B591B" w:rsidRDefault="00036115" w:rsidP="00915B7F">
            <w:pPr>
              <w:pStyle w:val="Prrafodelista"/>
              <w:widowControl w:val="0"/>
              <w:autoSpaceDE w:val="0"/>
              <w:autoSpaceDN w:val="0"/>
              <w:adjustRightInd w:val="0"/>
              <w:spacing w:after="120"/>
              <w:ind w:left="0"/>
              <w:rPr>
                <w:rFonts w:ascii="Times New Roman" w:eastAsiaTheme="minorEastAsia" w:hAnsi="Times New Roman" w:cs="Times New Roman"/>
                <w:b/>
                <w:color w:val="000000" w:themeColor="text1"/>
                <w:sz w:val="20"/>
                <w:szCs w:val="20"/>
              </w:rPr>
            </w:pPr>
          </w:p>
          <w:p w:rsidR="00CC5215" w:rsidRPr="008B591B" w:rsidRDefault="0026031C" w:rsidP="00915B7F">
            <w:pPr>
              <w:pStyle w:val="Prrafodelista"/>
              <w:widowControl w:val="0"/>
              <w:numPr>
                <w:ilvl w:val="0"/>
                <w:numId w:val="40"/>
              </w:numPr>
              <w:autoSpaceDE w:val="0"/>
              <w:autoSpaceDN w:val="0"/>
              <w:adjustRightInd w:val="0"/>
              <w:spacing w:after="120"/>
              <w:ind w:left="357" w:hanging="357"/>
              <w:rPr>
                <w:rFonts w:ascii="Times New Roman" w:eastAsiaTheme="minorEastAsia" w:hAnsi="Times New Roman" w:cs="Times New Roman"/>
                <w:color w:val="0070C0"/>
                <w:sz w:val="20"/>
                <w:szCs w:val="20"/>
              </w:rPr>
            </w:pPr>
            <m:oMath>
              <m:sSubSup>
                <m:sSubSupPr>
                  <m:ctrlPr>
                    <w:rPr>
                      <w:rFonts w:ascii="Cambria Math" w:hAnsi="Cambria Math" w:cs="Times New Roman"/>
                      <w:color w:val="0070C0"/>
                      <w:sz w:val="20"/>
                      <w:szCs w:val="20"/>
                    </w:rPr>
                  </m:ctrlPr>
                </m:sSubSupPr>
                <m:e>
                  <m:r>
                    <m:rPr>
                      <m:sty m:val="p"/>
                    </m:rPr>
                    <w:rPr>
                      <w:rFonts w:ascii="Cambria Math" w:eastAsiaTheme="minorEastAsia" w:hAnsi="Cambria Math" w:cs="Times New Roman"/>
                      <w:color w:val="0070C0"/>
                      <w:sz w:val="20"/>
                      <w:szCs w:val="20"/>
                    </w:rPr>
                    <m:t>Mg_Ebitda</m:t>
                  </m:r>
                </m:e>
                <m:sub>
                  <m:r>
                    <m:rPr>
                      <m:sty m:val="p"/>
                    </m:rPr>
                    <w:rPr>
                      <w:rFonts w:ascii="Cambria Math" w:hAnsi="Cambria Math" w:cs="Times New Roman"/>
                      <w:color w:val="0070C0"/>
                      <w:sz w:val="20"/>
                      <w:szCs w:val="20"/>
                    </w:rPr>
                    <m:t>Et</m:t>
                  </m:r>
                </m:sub>
                <m:sup/>
              </m:sSubSup>
            </m:oMath>
            <w:r w:rsidR="00CC5215" w:rsidRPr="008B591B">
              <w:rPr>
                <w:rFonts w:ascii="Times New Roman" w:eastAsiaTheme="minorEastAsia" w:hAnsi="Times New Roman" w:cs="Times New Roman"/>
                <w:color w:val="0070C0"/>
                <w:sz w:val="20"/>
                <w:szCs w:val="20"/>
              </w:rPr>
              <w:t>=</w:t>
            </w:r>
            <m:oMath>
              <m:sSub>
                <m:sSubPr>
                  <m:ctrlPr>
                    <w:rPr>
                      <w:rFonts w:ascii="Cambria Math" w:eastAsiaTheme="minorEastAsia" w:hAnsi="Cambria Math" w:cs="Times New Roman"/>
                      <w:color w:val="0070C0"/>
                      <w:sz w:val="20"/>
                      <w:szCs w:val="20"/>
                    </w:rPr>
                  </m:ctrlPr>
                </m:sSubPr>
                <m:e>
                  <m:r>
                    <m:rPr>
                      <m:sty m:val="p"/>
                    </m:rPr>
                    <w:rPr>
                      <w:rFonts w:ascii="Cambria Math" w:eastAsiaTheme="minorEastAsia" w:hAnsi="Cambria Math" w:cs="Times New Roman"/>
                      <w:color w:val="0070C0"/>
                      <w:sz w:val="20"/>
                      <w:szCs w:val="20"/>
                    </w:rPr>
                    <m:t>α</m:t>
                  </m:r>
                </m:e>
                <m:sub>
                  <m:r>
                    <m:rPr>
                      <m:sty m:val="p"/>
                    </m:rPr>
                    <w:rPr>
                      <w:rFonts w:ascii="Cambria Math" w:eastAsiaTheme="minorEastAsia" w:hAnsi="Cambria Math" w:cs="Times New Roman"/>
                      <w:color w:val="0070C0"/>
                      <w:sz w:val="20"/>
                      <w:szCs w:val="20"/>
                    </w:rPr>
                    <m:t>o</m:t>
                  </m:r>
                </m:sub>
              </m:sSub>
              <m:r>
                <m:rPr>
                  <m:sty m:val="p"/>
                </m:rPr>
                <w:rPr>
                  <w:rFonts w:ascii="Cambria Math" w:eastAsiaTheme="minorEastAsia" w:hAnsi="Cambria Math" w:cs="Times New Roman"/>
                  <w:color w:val="0070C0"/>
                  <w:sz w:val="20"/>
                  <w:szCs w:val="20"/>
                </w:rPr>
                <m:t xml:space="preserve"> </m:t>
              </m:r>
              <m:sSub>
                <m:sSubPr>
                  <m:ctrlPr>
                    <w:rPr>
                      <w:rFonts w:ascii="Cambria Math" w:eastAsiaTheme="minorEastAsia" w:hAnsi="Cambria Math" w:cs="Times New Roman"/>
                      <w:color w:val="0070C0"/>
                      <w:sz w:val="20"/>
                      <w:szCs w:val="20"/>
                    </w:rPr>
                  </m:ctrlPr>
                </m:sSubPr>
                <m:e>
                  <m:r>
                    <m:rPr>
                      <m:sty m:val="p"/>
                    </m:rPr>
                    <w:rPr>
                      <w:rFonts w:ascii="Cambria Math" w:eastAsiaTheme="minorEastAsia" w:hAnsi="Cambria Math" w:cs="Times New Roman"/>
                      <w:color w:val="0070C0"/>
                      <w:sz w:val="20"/>
                      <w:szCs w:val="20"/>
                    </w:rPr>
                    <m:t>+β</m:t>
                  </m:r>
                </m:e>
                <m:sub>
                  <m:r>
                    <m:rPr>
                      <m:sty m:val="p"/>
                    </m:rPr>
                    <w:rPr>
                      <w:rFonts w:ascii="Cambria Math" w:eastAsiaTheme="minorEastAsia" w:hAnsi="Cambria Math" w:cs="Times New Roman"/>
                      <w:color w:val="0070C0"/>
                      <w:sz w:val="20"/>
                      <w:szCs w:val="20"/>
                    </w:rPr>
                    <m:t>1</m:t>
                  </m:r>
                </m:sub>
              </m:sSub>
              <m:sSubSup>
                <m:sSubSupPr>
                  <m:ctrlPr>
                    <w:rPr>
                      <w:rFonts w:ascii="Cambria Math" w:eastAsiaTheme="minorEastAsia" w:hAnsi="Cambria Math" w:cs="Times New Roman"/>
                      <w:color w:val="0070C0"/>
                      <w:sz w:val="20"/>
                      <w:szCs w:val="20"/>
                    </w:rPr>
                  </m:ctrlPr>
                </m:sSubSupPr>
                <m:e>
                  <m:r>
                    <m:rPr>
                      <m:sty m:val="p"/>
                    </m:rPr>
                    <w:rPr>
                      <w:rFonts w:ascii="Cambria Math" w:eastAsiaTheme="minorEastAsia" w:hAnsi="Cambria Math" w:cs="Times New Roman"/>
                      <w:color w:val="0070C0"/>
                      <w:sz w:val="20"/>
                      <w:szCs w:val="20"/>
                    </w:rPr>
                    <m:t>MgEbitda</m:t>
                  </m:r>
                </m:e>
                <m:sub>
                  <m:r>
                    <m:rPr>
                      <m:sty m:val="p"/>
                    </m:rPr>
                    <w:rPr>
                      <w:rFonts w:ascii="Cambria Math" w:eastAsiaTheme="minorEastAsia" w:hAnsi="Cambria Math" w:cs="Times New Roman"/>
                      <w:color w:val="0070C0"/>
                      <w:sz w:val="20"/>
                      <w:szCs w:val="20"/>
                    </w:rPr>
                    <m:t>E,t-1</m:t>
                  </m:r>
                </m:sub>
                <m:sup/>
              </m:sSubSup>
              <m:r>
                <m:rPr>
                  <m:sty m:val="p"/>
                </m:rPr>
                <w:rPr>
                  <w:rFonts w:ascii="Cambria Math" w:eastAsiaTheme="minorEastAsia" w:hAnsi="Cambria Math" w:cs="Times New Roman"/>
                  <w:color w:val="0070C0"/>
                  <w:sz w:val="20"/>
                  <w:szCs w:val="20"/>
                </w:rPr>
                <m:t>+</m:t>
              </m:r>
              <m:sSub>
                <m:sSubPr>
                  <m:ctrlPr>
                    <w:rPr>
                      <w:rFonts w:ascii="Cambria Math" w:eastAsiaTheme="minorEastAsia" w:hAnsi="Cambria Math" w:cs="Times New Roman"/>
                      <w:color w:val="0070C0"/>
                      <w:sz w:val="20"/>
                      <w:szCs w:val="20"/>
                    </w:rPr>
                  </m:ctrlPr>
                </m:sSubPr>
                <m:e>
                  <m:r>
                    <m:rPr>
                      <m:sty m:val="p"/>
                    </m:rPr>
                    <w:rPr>
                      <w:rFonts w:ascii="Cambria Math" w:eastAsiaTheme="minorEastAsia" w:hAnsi="Cambria Math" w:cs="Times New Roman"/>
                      <w:color w:val="0070C0"/>
                      <w:sz w:val="20"/>
                      <w:szCs w:val="20"/>
                    </w:rPr>
                    <m:t>β</m:t>
                  </m:r>
                </m:e>
                <m:sub>
                  <m:r>
                    <m:rPr>
                      <m:sty m:val="p"/>
                    </m:rPr>
                    <w:rPr>
                      <w:rFonts w:ascii="Cambria Math" w:eastAsiaTheme="minorEastAsia" w:hAnsi="Cambria Math" w:cs="Times New Roman"/>
                      <w:color w:val="0070C0"/>
                      <w:sz w:val="20"/>
                      <w:szCs w:val="20"/>
                    </w:rPr>
                    <m:t>2</m:t>
                  </m:r>
                </m:sub>
              </m:sSub>
              <m:sSubSup>
                <m:sSubSupPr>
                  <m:ctrlPr>
                    <w:rPr>
                      <w:rFonts w:ascii="Cambria Math" w:eastAsiaTheme="minorEastAsia" w:hAnsi="Cambria Math" w:cs="Times New Roman"/>
                      <w:color w:val="0070C0"/>
                      <w:sz w:val="20"/>
                      <w:szCs w:val="20"/>
                    </w:rPr>
                  </m:ctrlPr>
                </m:sSubSupPr>
                <m:e>
                  <m:r>
                    <m:rPr>
                      <m:sty m:val="p"/>
                    </m:rPr>
                    <w:rPr>
                      <w:rFonts w:ascii="Cambria Math" w:eastAsiaTheme="minorEastAsia" w:hAnsi="Cambria Math" w:cs="Times New Roman"/>
                      <w:color w:val="0070C0"/>
                      <w:sz w:val="20"/>
                      <w:szCs w:val="20"/>
                    </w:rPr>
                    <m:t>PM</m:t>
                  </m:r>
                </m:e>
                <m:sub>
                  <m:r>
                    <m:rPr>
                      <m:sty m:val="p"/>
                    </m:rPr>
                    <w:rPr>
                      <w:rFonts w:ascii="Cambria Math" w:eastAsiaTheme="minorEastAsia" w:hAnsi="Cambria Math" w:cs="Times New Roman"/>
                      <w:color w:val="0070C0"/>
                      <w:sz w:val="20"/>
                      <w:szCs w:val="20"/>
                    </w:rPr>
                    <m:t xml:space="preserve">Et-1  </m:t>
                  </m:r>
                </m:sub>
                <m:sup/>
              </m:sSubSup>
              <m:r>
                <m:rPr>
                  <m:sty m:val="p"/>
                </m:rPr>
                <w:rPr>
                  <w:rFonts w:ascii="Cambria Math" w:eastAsiaTheme="minorEastAsia" w:hAnsi="Cambria Math" w:cs="Times New Roman"/>
                  <w:color w:val="0070C0"/>
                  <w:sz w:val="20"/>
                  <w:szCs w:val="20"/>
                </w:rPr>
                <m:t>+</m:t>
              </m:r>
              <m:sSub>
                <m:sSubPr>
                  <m:ctrlPr>
                    <w:rPr>
                      <w:rFonts w:ascii="Cambria Math" w:eastAsiaTheme="minorEastAsia" w:hAnsi="Cambria Math" w:cs="Times New Roman"/>
                      <w:color w:val="0070C0"/>
                      <w:sz w:val="20"/>
                      <w:szCs w:val="20"/>
                    </w:rPr>
                  </m:ctrlPr>
                </m:sSubPr>
                <m:e>
                  <m:r>
                    <m:rPr>
                      <m:sty m:val="p"/>
                    </m:rPr>
                    <w:rPr>
                      <w:rFonts w:ascii="Cambria Math" w:eastAsiaTheme="minorEastAsia" w:hAnsi="Cambria Math" w:cs="Times New Roman"/>
                      <w:color w:val="0070C0"/>
                      <w:sz w:val="20"/>
                      <w:szCs w:val="20"/>
                    </w:rPr>
                    <m:t>β</m:t>
                  </m:r>
                </m:e>
                <m:sub>
                  <m:r>
                    <m:rPr>
                      <m:sty m:val="p"/>
                    </m:rPr>
                    <w:rPr>
                      <w:rFonts w:ascii="Cambria Math" w:eastAsiaTheme="minorEastAsia" w:hAnsi="Cambria Math" w:cs="Times New Roman"/>
                      <w:color w:val="0070C0"/>
                      <w:sz w:val="20"/>
                      <w:szCs w:val="20"/>
                    </w:rPr>
                    <m:t>3</m:t>
                  </m:r>
                </m:sub>
              </m:sSub>
              <m:r>
                <m:rPr>
                  <m:sty m:val="p"/>
                </m:rPr>
                <w:rPr>
                  <w:rFonts w:ascii="Cambria Math" w:eastAsiaTheme="minorEastAsia" w:hAnsi="Cambria Math" w:cs="Times New Roman"/>
                  <w:color w:val="0070C0"/>
                  <w:sz w:val="20"/>
                  <w:szCs w:val="20"/>
                </w:rPr>
                <m:t xml:space="preserve"> </m:t>
              </m:r>
              <m:sSubSup>
                <m:sSubSupPr>
                  <m:ctrlPr>
                    <w:rPr>
                      <w:rFonts w:ascii="Cambria Math" w:eastAsiaTheme="minorEastAsia" w:hAnsi="Cambria Math" w:cs="Times New Roman"/>
                      <w:color w:val="0070C0"/>
                      <w:sz w:val="20"/>
                      <w:szCs w:val="20"/>
                    </w:rPr>
                  </m:ctrlPr>
                </m:sSubSupPr>
                <m:e>
                  <m:r>
                    <m:rPr>
                      <m:sty m:val="p"/>
                    </m:rPr>
                    <w:rPr>
                      <w:rFonts w:ascii="Cambria Math" w:eastAsiaTheme="minorEastAsia" w:hAnsi="Cambria Math" w:cs="Times New Roman"/>
                      <w:color w:val="0070C0"/>
                      <w:sz w:val="20"/>
                      <w:szCs w:val="20"/>
                    </w:rPr>
                    <m:t>AR</m:t>
                  </m:r>
                </m:e>
                <m:sub>
                  <m:r>
                    <m:rPr>
                      <m:sty m:val="p"/>
                    </m:rPr>
                    <w:rPr>
                      <w:rFonts w:ascii="Cambria Math" w:eastAsiaTheme="minorEastAsia" w:hAnsi="Cambria Math" w:cs="Times New Roman"/>
                      <w:color w:val="0070C0"/>
                      <w:sz w:val="20"/>
                      <w:szCs w:val="20"/>
                    </w:rPr>
                    <m:t>E,t</m:t>
                  </m:r>
                </m:sub>
                <m:sup/>
              </m:sSubSup>
              <m:r>
                <m:rPr>
                  <m:sty m:val="p"/>
                </m:rPr>
                <w:rPr>
                  <w:rFonts w:ascii="Cambria Math" w:eastAsiaTheme="minorEastAsia" w:hAnsi="Cambria Math" w:cs="Times New Roman"/>
                  <w:color w:val="0070C0"/>
                  <w:sz w:val="20"/>
                  <w:szCs w:val="20"/>
                </w:rPr>
                <m:t>+</m:t>
              </m:r>
              <m:sSub>
                <m:sSubPr>
                  <m:ctrlPr>
                    <w:rPr>
                      <w:rFonts w:ascii="Cambria Math" w:eastAsiaTheme="minorEastAsia" w:hAnsi="Cambria Math" w:cs="Times New Roman"/>
                      <w:color w:val="0070C0"/>
                      <w:sz w:val="20"/>
                      <w:szCs w:val="20"/>
                    </w:rPr>
                  </m:ctrlPr>
                </m:sSubPr>
                <m:e>
                  <m:r>
                    <m:rPr>
                      <m:sty m:val="p"/>
                    </m:rPr>
                    <w:rPr>
                      <w:rFonts w:ascii="Cambria Math" w:eastAsiaTheme="minorEastAsia" w:hAnsi="Cambria Math" w:cs="Times New Roman"/>
                      <w:color w:val="0070C0"/>
                      <w:sz w:val="20"/>
                      <w:szCs w:val="20"/>
                    </w:rPr>
                    <m:t>β</m:t>
                  </m:r>
                </m:e>
                <m:sub>
                  <m:r>
                    <m:rPr>
                      <m:sty m:val="p"/>
                    </m:rPr>
                    <w:rPr>
                      <w:rFonts w:ascii="Cambria Math" w:eastAsiaTheme="minorEastAsia" w:hAnsi="Cambria Math" w:cs="Times New Roman"/>
                      <w:color w:val="0070C0"/>
                      <w:sz w:val="20"/>
                      <w:szCs w:val="20"/>
                    </w:rPr>
                    <m:t>4</m:t>
                  </m:r>
                </m:sub>
              </m:sSub>
              <m:r>
                <m:rPr>
                  <m:sty m:val="p"/>
                </m:rPr>
                <w:rPr>
                  <w:rFonts w:ascii="Cambria Math" w:eastAsiaTheme="minorEastAsia" w:hAnsi="Cambria Math" w:cs="Times New Roman"/>
                  <w:color w:val="0070C0"/>
                  <w:sz w:val="20"/>
                  <w:szCs w:val="20"/>
                </w:rPr>
                <m:t xml:space="preserve"> </m:t>
              </m:r>
              <m:sSubSup>
                <m:sSubSupPr>
                  <m:ctrlPr>
                    <w:rPr>
                      <w:rFonts w:ascii="Cambria Math" w:eastAsiaTheme="minorEastAsia" w:hAnsi="Cambria Math" w:cs="Times New Roman"/>
                      <w:color w:val="0070C0"/>
                      <w:sz w:val="20"/>
                      <w:szCs w:val="20"/>
                    </w:rPr>
                  </m:ctrlPr>
                </m:sSubSupPr>
                <m:e>
                  <m:r>
                    <m:rPr>
                      <m:sty m:val="p"/>
                    </m:rPr>
                    <w:rPr>
                      <w:rFonts w:ascii="Cambria Math" w:eastAsiaTheme="minorEastAsia" w:hAnsi="Cambria Math" w:cs="Times New Roman"/>
                      <w:color w:val="0070C0"/>
                      <w:sz w:val="20"/>
                      <w:szCs w:val="20"/>
                    </w:rPr>
                    <m:t>TTM</m:t>
                  </m:r>
                </m:e>
                <m:sub>
                  <m:r>
                    <m:rPr>
                      <m:sty m:val="p"/>
                    </m:rPr>
                    <w:rPr>
                      <w:rFonts w:ascii="Cambria Math" w:eastAsiaTheme="minorEastAsia" w:hAnsi="Cambria Math" w:cs="Times New Roman"/>
                      <w:color w:val="0070C0"/>
                      <w:sz w:val="20"/>
                      <w:szCs w:val="20"/>
                    </w:rPr>
                    <m:t>E,t</m:t>
                  </m:r>
                </m:sub>
                <m:sup/>
              </m:sSubSup>
              <m:r>
                <m:rPr>
                  <m:sty m:val="p"/>
                </m:rPr>
                <w:rPr>
                  <w:rFonts w:ascii="Cambria Math" w:eastAsiaTheme="minorEastAsia" w:hAnsi="Cambria Math" w:cs="Times New Roman"/>
                  <w:color w:val="0070C0"/>
                  <w:sz w:val="20"/>
                  <w:szCs w:val="20"/>
                </w:rPr>
                <m:t xml:space="preserve">+ </m:t>
              </m:r>
              <m:sSub>
                <m:sSubPr>
                  <m:ctrlPr>
                    <w:rPr>
                      <w:rFonts w:ascii="Cambria Math" w:eastAsiaTheme="minorEastAsia" w:hAnsi="Cambria Math" w:cs="Times New Roman"/>
                      <w:color w:val="0070C0"/>
                      <w:sz w:val="20"/>
                      <w:szCs w:val="20"/>
                    </w:rPr>
                  </m:ctrlPr>
                </m:sSubPr>
                <m:e>
                  <m:r>
                    <m:rPr>
                      <m:sty m:val="p"/>
                    </m:rPr>
                    <w:rPr>
                      <w:rFonts w:ascii="Cambria Math" w:eastAsiaTheme="minorEastAsia" w:hAnsi="Cambria Math" w:cs="Times New Roman"/>
                      <w:color w:val="0070C0"/>
                      <w:sz w:val="20"/>
                      <w:szCs w:val="20"/>
                    </w:rPr>
                    <m:t>K</m:t>
                  </m:r>
                </m:e>
                <m:sub>
                  <m:r>
                    <m:rPr>
                      <m:sty m:val="p"/>
                    </m:rPr>
                    <w:rPr>
                      <w:rFonts w:ascii="Cambria Math" w:eastAsiaTheme="minorEastAsia" w:hAnsi="Cambria Math" w:cs="Times New Roman"/>
                      <w:color w:val="0070C0"/>
                      <w:sz w:val="20"/>
                      <w:szCs w:val="20"/>
                    </w:rPr>
                    <m:t>t</m:t>
                  </m:r>
                </m:sub>
              </m:sSub>
              <m:r>
                <m:rPr>
                  <m:sty m:val="p"/>
                </m:rPr>
                <w:rPr>
                  <w:rFonts w:ascii="Cambria Math" w:eastAsiaTheme="minorEastAsia" w:hAnsi="Cambria Math" w:cs="Times New Roman"/>
                  <w:color w:val="0070C0"/>
                  <w:sz w:val="20"/>
                  <w:szCs w:val="20"/>
                </w:rPr>
                <m:t>+</m:t>
              </m:r>
              <m:sSub>
                <m:sSubPr>
                  <m:ctrlPr>
                    <w:rPr>
                      <w:rFonts w:ascii="Cambria Math" w:eastAsiaTheme="minorEastAsia" w:hAnsi="Cambria Math" w:cs="Times New Roman"/>
                      <w:color w:val="0070C0"/>
                      <w:sz w:val="20"/>
                      <w:szCs w:val="20"/>
                    </w:rPr>
                  </m:ctrlPr>
                </m:sSubPr>
                <m:e>
                  <m:r>
                    <m:rPr>
                      <m:sty m:val="p"/>
                    </m:rPr>
                    <w:rPr>
                      <w:rFonts w:ascii="Cambria Math" w:eastAsiaTheme="minorEastAsia" w:hAnsi="Cambria Math" w:cs="Times New Roman"/>
                      <w:color w:val="0070C0"/>
                      <w:sz w:val="20"/>
                      <w:szCs w:val="20"/>
                    </w:rPr>
                    <m:t>e</m:t>
                  </m:r>
                </m:e>
                <m:sub>
                  <m:r>
                    <m:rPr>
                      <m:sty m:val="p"/>
                    </m:rPr>
                    <w:rPr>
                      <w:rFonts w:ascii="Cambria Math" w:eastAsiaTheme="minorEastAsia" w:hAnsi="Cambria Math" w:cs="Times New Roman"/>
                      <w:color w:val="0070C0"/>
                      <w:sz w:val="20"/>
                      <w:szCs w:val="20"/>
                    </w:rPr>
                    <m:t>t</m:t>
                  </m:r>
                </m:sub>
              </m:sSub>
            </m:oMath>
          </w:p>
          <w:p w:rsidR="00991EE2" w:rsidRPr="008B591B" w:rsidRDefault="0026031C" w:rsidP="00915B7F">
            <w:pPr>
              <w:pStyle w:val="Prrafodelista"/>
              <w:widowControl w:val="0"/>
              <w:numPr>
                <w:ilvl w:val="0"/>
                <w:numId w:val="40"/>
              </w:numPr>
              <w:autoSpaceDE w:val="0"/>
              <w:autoSpaceDN w:val="0"/>
              <w:adjustRightInd w:val="0"/>
              <w:spacing w:after="120"/>
              <w:ind w:left="357" w:hanging="357"/>
              <w:rPr>
                <w:rFonts w:ascii="Times New Roman" w:eastAsiaTheme="minorEastAsia" w:hAnsi="Times New Roman" w:cs="Times New Roman"/>
                <w:color w:val="0070C0"/>
                <w:sz w:val="20"/>
                <w:szCs w:val="20"/>
              </w:rPr>
            </w:pPr>
            <m:oMath>
              <m:sSubSup>
                <m:sSubSupPr>
                  <m:ctrlPr>
                    <w:rPr>
                      <w:rFonts w:ascii="Cambria Math" w:hAnsi="Cambria Math" w:cs="Times New Roman"/>
                      <w:color w:val="0070C0"/>
                      <w:sz w:val="20"/>
                      <w:szCs w:val="20"/>
                    </w:rPr>
                  </m:ctrlPr>
                </m:sSubSupPr>
                <m:e>
                  <m:r>
                    <m:rPr>
                      <m:sty m:val="p"/>
                    </m:rPr>
                    <w:rPr>
                      <w:rFonts w:ascii="Cambria Math" w:hAnsi="Cambria Math" w:cs="Times New Roman"/>
                      <w:color w:val="0070C0"/>
                      <w:sz w:val="20"/>
                      <w:szCs w:val="20"/>
                    </w:rPr>
                    <m:t>PM</m:t>
                  </m:r>
                </m:e>
                <m:sub>
                  <m:r>
                    <m:rPr>
                      <m:sty m:val="p"/>
                    </m:rPr>
                    <w:rPr>
                      <w:rFonts w:ascii="Cambria Math" w:hAnsi="Cambria Math" w:cs="Times New Roman"/>
                      <w:color w:val="0070C0"/>
                      <w:sz w:val="20"/>
                      <w:szCs w:val="20"/>
                    </w:rPr>
                    <m:t>Et</m:t>
                  </m:r>
                </m:sub>
                <m:sup/>
              </m:sSubSup>
            </m:oMath>
            <w:r w:rsidR="00CC5215" w:rsidRPr="008B591B">
              <w:rPr>
                <w:rFonts w:ascii="Times New Roman" w:eastAsiaTheme="minorEastAsia" w:hAnsi="Times New Roman" w:cs="Times New Roman"/>
                <w:color w:val="0070C0"/>
                <w:sz w:val="20"/>
                <w:szCs w:val="20"/>
              </w:rPr>
              <w:t>=</w:t>
            </w:r>
            <m:oMath>
              <m:sSub>
                <m:sSubPr>
                  <m:ctrlPr>
                    <w:rPr>
                      <w:rFonts w:ascii="Cambria Math" w:eastAsiaTheme="minorEastAsia" w:hAnsi="Cambria Math" w:cs="Times New Roman"/>
                      <w:color w:val="0070C0"/>
                      <w:sz w:val="20"/>
                      <w:szCs w:val="20"/>
                    </w:rPr>
                  </m:ctrlPr>
                </m:sSubPr>
                <m:e>
                  <m:r>
                    <m:rPr>
                      <m:sty m:val="p"/>
                    </m:rPr>
                    <w:rPr>
                      <w:rFonts w:ascii="Cambria Math" w:eastAsiaTheme="minorEastAsia" w:hAnsi="Cambria Math" w:cs="Times New Roman"/>
                      <w:color w:val="0070C0"/>
                      <w:sz w:val="20"/>
                      <w:szCs w:val="20"/>
                    </w:rPr>
                    <m:t>α</m:t>
                  </m:r>
                </m:e>
                <m:sub>
                  <m:r>
                    <m:rPr>
                      <m:sty m:val="p"/>
                    </m:rPr>
                    <w:rPr>
                      <w:rFonts w:ascii="Cambria Math" w:eastAsiaTheme="minorEastAsia" w:hAnsi="Cambria Math" w:cs="Times New Roman"/>
                      <w:color w:val="0070C0"/>
                      <w:sz w:val="20"/>
                      <w:szCs w:val="20"/>
                    </w:rPr>
                    <m:t>o</m:t>
                  </m:r>
                </m:sub>
              </m:sSub>
              <m:r>
                <m:rPr>
                  <m:sty m:val="p"/>
                </m:rPr>
                <w:rPr>
                  <w:rFonts w:ascii="Cambria Math" w:eastAsiaTheme="minorEastAsia" w:hAnsi="Cambria Math" w:cs="Times New Roman"/>
                  <w:color w:val="0070C0"/>
                  <w:sz w:val="20"/>
                  <w:szCs w:val="20"/>
                </w:rPr>
                <m:t xml:space="preserve"> </m:t>
              </m:r>
              <m:sSub>
                <m:sSubPr>
                  <m:ctrlPr>
                    <w:rPr>
                      <w:rFonts w:ascii="Cambria Math" w:eastAsiaTheme="minorEastAsia" w:hAnsi="Cambria Math" w:cs="Times New Roman"/>
                      <w:color w:val="0070C0"/>
                      <w:sz w:val="20"/>
                      <w:szCs w:val="20"/>
                    </w:rPr>
                  </m:ctrlPr>
                </m:sSubPr>
                <m:e>
                  <m:r>
                    <m:rPr>
                      <m:sty m:val="p"/>
                    </m:rPr>
                    <w:rPr>
                      <w:rFonts w:ascii="Cambria Math" w:eastAsiaTheme="minorEastAsia" w:hAnsi="Cambria Math" w:cs="Times New Roman"/>
                      <w:color w:val="0070C0"/>
                      <w:sz w:val="20"/>
                      <w:szCs w:val="20"/>
                    </w:rPr>
                    <m:t>+β</m:t>
                  </m:r>
                </m:e>
                <m:sub>
                  <m:r>
                    <m:rPr>
                      <m:sty m:val="p"/>
                    </m:rPr>
                    <w:rPr>
                      <w:rFonts w:ascii="Cambria Math" w:eastAsiaTheme="minorEastAsia" w:hAnsi="Cambria Math" w:cs="Times New Roman"/>
                      <w:color w:val="0070C0"/>
                      <w:sz w:val="20"/>
                      <w:szCs w:val="20"/>
                    </w:rPr>
                    <m:t>1</m:t>
                  </m:r>
                </m:sub>
              </m:sSub>
              <m:sSubSup>
                <m:sSubSupPr>
                  <m:ctrlPr>
                    <w:rPr>
                      <w:rFonts w:ascii="Cambria Math" w:eastAsiaTheme="minorEastAsia" w:hAnsi="Cambria Math" w:cs="Times New Roman"/>
                      <w:color w:val="0070C0"/>
                      <w:sz w:val="20"/>
                      <w:szCs w:val="20"/>
                    </w:rPr>
                  </m:ctrlPr>
                </m:sSubSupPr>
                <m:e>
                  <m:r>
                    <m:rPr>
                      <m:sty m:val="p"/>
                    </m:rPr>
                    <w:rPr>
                      <w:rFonts w:ascii="Cambria Math" w:eastAsiaTheme="minorEastAsia" w:hAnsi="Cambria Math" w:cs="Times New Roman"/>
                      <w:color w:val="0070C0"/>
                      <w:sz w:val="20"/>
                      <w:szCs w:val="20"/>
                    </w:rPr>
                    <m:t>MgEbitda</m:t>
                  </m:r>
                </m:e>
                <m:sub>
                  <m:r>
                    <m:rPr>
                      <m:sty m:val="p"/>
                    </m:rPr>
                    <w:rPr>
                      <w:rFonts w:ascii="Cambria Math" w:eastAsiaTheme="minorEastAsia" w:hAnsi="Cambria Math" w:cs="Times New Roman"/>
                      <w:color w:val="0070C0"/>
                      <w:sz w:val="20"/>
                      <w:szCs w:val="20"/>
                    </w:rPr>
                    <m:t>E,t-1</m:t>
                  </m:r>
                </m:sub>
                <m:sup/>
              </m:sSubSup>
              <m:r>
                <m:rPr>
                  <m:sty m:val="p"/>
                </m:rPr>
                <w:rPr>
                  <w:rFonts w:ascii="Cambria Math" w:eastAsiaTheme="minorEastAsia" w:hAnsi="Cambria Math" w:cs="Times New Roman"/>
                  <w:color w:val="0070C0"/>
                  <w:sz w:val="20"/>
                  <w:szCs w:val="20"/>
                </w:rPr>
                <m:t>+</m:t>
              </m:r>
              <m:sSub>
                <m:sSubPr>
                  <m:ctrlPr>
                    <w:rPr>
                      <w:rFonts w:ascii="Cambria Math" w:eastAsiaTheme="minorEastAsia" w:hAnsi="Cambria Math" w:cs="Times New Roman"/>
                      <w:color w:val="0070C0"/>
                      <w:sz w:val="20"/>
                      <w:szCs w:val="20"/>
                    </w:rPr>
                  </m:ctrlPr>
                </m:sSubPr>
                <m:e>
                  <m:r>
                    <m:rPr>
                      <m:sty m:val="p"/>
                    </m:rPr>
                    <w:rPr>
                      <w:rFonts w:ascii="Cambria Math" w:eastAsiaTheme="minorEastAsia" w:hAnsi="Cambria Math" w:cs="Times New Roman"/>
                      <w:color w:val="0070C0"/>
                      <w:sz w:val="20"/>
                      <w:szCs w:val="20"/>
                    </w:rPr>
                    <m:t>β</m:t>
                  </m:r>
                </m:e>
                <m:sub>
                  <m:r>
                    <m:rPr>
                      <m:sty m:val="p"/>
                    </m:rPr>
                    <w:rPr>
                      <w:rFonts w:ascii="Cambria Math" w:eastAsiaTheme="minorEastAsia" w:hAnsi="Cambria Math" w:cs="Times New Roman"/>
                      <w:color w:val="0070C0"/>
                      <w:sz w:val="20"/>
                      <w:szCs w:val="20"/>
                    </w:rPr>
                    <m:t>2</m:t>
                  </m:r>
                </m:sub>
              </m:sSub>
              <m:sSubSup>
                <m:sSubSupPr>
                  <m:ctrlPr>
                    <w:rPr>
                      <w:rFonts w:ascii="Cambria Math" w:eastAsiaTheme="minorEastAsia" w:hAnsi="Cambria Math" w:cs="Times New Roman"/>
                      <w:color w:val="0070C0"/>
                      <w:sz w:val="20"/>
                      <w:szCs w:val="20"/>
                    </w:rPr>
                  </m:ctrlPr>
                </m:sSubSupPr>
                <m:e>
                  <m:r>
                    <m:rPr>
                      <m:sty m:val="p"/>
                    </m:rPr>
                    <w:rPr>
                      <w:rFonts w:ascii="Cambria Math" w:eastAsiaTheme="minorEastAsia" w:hAnsi="Cambria Math" w:cs="Times New Roman"/>
                      <w:color w:val="0070C0"/>
                      <w:sz w:val="20"/>
                      <w:szCs w:val="20"/>
                    </w:rPr>
                    <m:t>PM</m:t>
                  </m:r>
                </m:e>
                <m:sub>
                  <m:r>
                    <m:rPr>
                      <m:sty m:val="p"/>
                    </m:rPr>
                    <w:rPr>
                      <w:rFonts w:ascii="Cambria Math" w:eastAsiaTheme="minorEastAsia" w:hAnsi="Cambria Math" w:cs="Times New Roman"/>
                      <w:color w:val="0070C0"/>
                      <w:sz w:val="20"/>
                      <w:szCs w:val="20"/>
                    </w:rPr>
                    <m:t xml:space="preserve">Et-1  </m:t>
                  </m:r>
                </m:sub>
                <m:sup/>
              </m:sSubSup>
              <m:r>
                <m:rPr>
                  <m:sty m:val="p"/>
                </m:rPr>
                <w:rPr>
                  <w:rFonts w:ascii="Cambria Math" w:eastAsiaTheme="minorEastAsia" w:hAnsi="Cambria Math" w:cs="Times New Roman"/>
                  <w:color w:val="0070C0"/>
                  <w:sz w:val="20"/>
                  <w:szCs w:val="20"/>
                </w:rPr>
                <m:t>+</m:t>
              </m:r>
              <m:sSub>
                <m:sSubPr>
                  <m:ctrlPr>
                    <w:rPr>
                      <w:rFonts w:ascii="Cambria Math" w:eastAsiaTheme="minorEastAsia" w:hAnsi="Cambria Math" w:cs="Times New Roman"/>
                      <w:color w:val="0070C0"/>
                      <w:sz w:val="20"/>
                      <w:szCs w:val="20"/>
                    </w:rPr>
                  </m:ctrlPr>
                </m:sSubPr>
                <m:e>
                  <m:r>
                    <m:rPr>
                      <m:sty m:val="p"/>
                    </m:rPr>
                    <w:rPr>
                      <w:rFonts w:ascii="Cambria Math" w:eastAsiaTheme="minorEastAsia" w:hAnsi="Cambria Math" w:cs="Times New Roman"/>
                      <w:color w:val="0070C0"/>
                      <w:sz w:val="20"/>
                      <w:szCs w:val="20"/>
                    </w:rPr>
                    <m:t>β</m:t>
                  </m:r>
                </m:e>
                <m:sub>
                  <m:r>
                    <m:rPr>
                      <m:sty m:val="p"/>
                    </m:rPr>
                    <w:rPr>
                      <w:rFonts w:ascii="Cambria Math" w:eastAsiaTheme="minorEastAsia" w:hAnsi="Cambria Math" w:cs="Times New Roman"/>
                      <w:color w:val="0070C0"/>
                      <w:sz w:val="20"/>
                      <w:szCs w:val="20"/>
                    </w:rPr>
                    <m:t>3</m:t>
                  </m:r>
                </m:sub>
              </m:sSub>
              <m:r>
                <m:rPr>
                  <m:sty m:val="p"/>
                </m:rPr>
                <w:rPr>
                  <w:rFonts w:ascii="Cambria Math" w:eastAsiaTheme="minorEastAsia" w:hAnsi="Cambria Math" w:cs="Times New Roman"/>
                  <w:color w:val="0070C0"/>
                  <w:sz w:val="20"/>
                  <w:szCs w:val="20"/>
                </w:rPr>
                <m:t xml:space="preserve"> </m:t>
              </m:r>
              <m:sSubSup>
                <m:sSubSupPr>
                  <m:ctrlPr>
                    <w:rPr>
                      <w:rFonts w:ascii="Cambria Math" w:eastAsiaTheme="minorEastAsia" w:hAnsi="Cambria Math" w:cs="Times New Roman"/>
                      <w:color w:val="0070C0"/>
                      <w:sz w:val="20"/>
                      <w:szCs w:val="20"/>
                    </w:rPr>
                  </m:ctrlPr>
                </m:sSubSupPr>
                <m:e>
                  <m:r>
                    <m:rPr>
                      <m:sty m:val="p"/>
                    </m:rPr>
                    <w:rPr>
                      <w:rFonts w:ascii="Cambria Math" w:eastAsiaTheme="minorEastAsia" w:hAnsi="Cambria Math" w:cs="Times New Roman"/>
                      <w:color w:val="0070C0"/>
                      <w:sz w:val="20"/>
                      <w:szCs w:val="20"/>
                    </w:rPr>
                    <m:t>AR</m:t>
                  </m:r>
                </m:e>
                <m:sub>
                  <m:r>
                    <m:rPr>
                      <m:sty m:val="p"/>
                    </m:rPr>
                    <w:rPr>
                      <w:rFonts w:ascii="Cambria Math" w:eastAsiaTheme="minorEastAsia" w:hAnsi="Cambria Math" w:cs="Times New Roman"/>
                      <w:color w:val="0070C0"/>
                      <w:sz w:val="20"/>
                      <w:szCs w:val="20"/>
                    </w:rPr>
                    <m:t>E,t</m:t>
                  </m:r>
                </m:sub>
                <m:sup/>
              </m:sSubSup>
              <m:r>
                <m:rPr>
                  <m:sty m:val="p"/>
                </m:rPr>
                <w:rPr>
                  <w:rFonts w:ascii="Cambria Math" w:eastAsiaTheme="minorEastAsia" w:hAnsi="Cambria Math" w:cs="Times New Roman"/>
                  <w:color w:val="0070C0"/>
                  <w:sz w:val="20"/>
                  <w:szCs w:val="20"/>
                </w:rPr>
                <m:t>+</m:t>
              </m:r>
              <m:sSub>
                <m:sSubPr>
                  <m:ctrlPr>
                    <w:rPr>
                      <w:rFonts w:ascii="Cambria Math" w:eastAsiaTheme="minorEastAsia" w:hAnsi="Cambria Math" w:cs="Times New Roman"/>
                      <w:color w:val="0070C0"/>
                      <w:sz w:val="20"/>
                      <w:szCs w:val="20"/>
                    </w:rPr>
                  </m:ctrlPr>
                </m:sSubPr>
                <m:e>
                  <m:r>
                    <m:rPr>
                      <m:sty m:val="p"/>
                    </m:rPr>
                    <w:rPr>
                      <w:rFonts w:ascii="Cambria Math" w:eastAsiaTheme="minorEastAsia" w:hAnsi="Cambria Math" w:cs="Times New Roman"/>
                      <w:color w:val="0070C0"/>
                      <w:sz w:val="20"/>
                      <w:szCs w:val="20"/>
                    </w:rPr>
                    <m:t>β</m:t>
                  </m:r>
                </m:e>
                <m:sub>
                  <m:r>
                    <m:rPr>
                      <m:sty m:val="p"/>
                    </m:rPr>
                    <w:rPr>
                      <w:rFonts w:ascii="Cambria Math" w:eastAsiaTheme="minorEastAsia" w:hAnsi="Cambria Math" w:cs="Times New Roman"/>
                      <w:color w:val="0070C0"/>
                      <w:sz w:val="20"/>
                      <w:szCs w:val="20"/>
                    </w:rPr>
                    <m:t>4</m:t>
                  </m:r>
                </m:sub>
              </m:sSub>
              <m:r>
                <m:rPr>
                  <m:sty m:val="p"/>
                </m:rPr>
                <w:rPr>
                  <w:rFonts w:ascii="Cambria Math" w:eastAsiaTheme="minorEastAsia" w:hAnsi="Cambria Math" w:cs="Times New Roman"/>
                  <w:color w:val="0070C0"/>
                  <w:sz w:val="20"/>
                  <w:szCs w:val="20"/>
                </w:rPr>
                <m:t xml:space="preserve"> </m:t>
              </m:r>
              <m:sSubSup>
                <m:sSubSupPr>
                  <m:ctrlPr>
                    <w:rPr>
                      <w:rFonts w:ascii="Cambria Math" w:eastAsiaTheme="minorEastAsia" w:hAnsi="Cambria Math" w:cs="Times New Roman"/>
                      <w:color w:val="0070C0"/>
                      <w:sz w:val="20"/>
                      <w:szCs w:val="20"/>
                    </w:rPr>
                  </m:ctrlPr>
                </m:sSubSupPr>
                <m:e>
                  <m:r>
                    <m:rPr>
                      <m:sty m:val="p"/>
                    </m:rPr>
                    <w:rPr>
                      <w:rFonts w:ascii="Cambria Math" w:eastAsiaTheme="minorEastAsia" w:hAnsi="Cambria Math" w:cs="Times New Roman"/>
                      <w:color w:val="0070C0"/>
                      <w:sz w:val="20"/>
                      <w:szCs w:val="20"/>
                    </w:rPr>
                    <m:t>TTM</m:t>
                  </m:r>
                </m:e>
                <m:sub>
                  <m:r>
                    <m:rPr>
                      <m:sty m:val="p"/>
                    </m:rPr>
                    <w:rPr>
                      <w:rFonts w:ascii="Cambria Math" w:eastAsiaTheme="minorEastAsia" w:hAnsi="Cambria Math" w:cs="Times New Roman"/>
                      <w:color w:val="0070C0"/>
                      <w:sz w:val="20"/>
                      <w:szCs w:val="20"/>
                    </w:rPr>
                    <m:t>E,t</m:t>
                  </m:r>
                </m:sub>
                <m:sup/>
              </m:sSubSup>
              <m:r>
                <m:rPr>
                  <m:sty m:val="p"/>
                </m:rPr>
                <w:rPr>
                  <w:rFonts w:ascii="Cambria Math" w:eastAsiaTheme="minorEastAsia" w:hAnsi="Cambria Math" w:cs="Times New Roman"/>
                  <w:color w:val="0070C0"/>
                  <w:sz w:val="20"/>
                  <w:szCs w:val="20"/>
                </w:rPr>
                <m:t xml:space="preserve">+ </m:t>
              </m:r>
              <m:sSub>
                <m:sSubPr>
                  <m:ctrlPr>
                    <w:rPr>
                      <w:rFonts w:ascii="Cambria Math" w:eastAsiaTheme="minorEastAsia" w:hAnsi="Cambria Math" w:cs="Times New Roman"/>
                      <w:color w:val="0070C0"/>
                      <w:sz w:val="20"/>
                      <w:szCs w:val="20"/>
                    </w:rPr>
                  </m:ctrlPr>
                </m:sSubPr>
                <m:e>
                  <m:r>
                    <m:rPr>
                      <m:sty m:val="p"/>
                    </m:rPr>
                    <w:rPr>
                      <w:rFonts w:ascii="Cambria Math" w:eastAsiaTheme="minorEastAsia" w:hAnsi="Cambria Math" w:cs="Times New Roman"/>
                      <w:color w:val="0070C0"/>
                      <w:sz w:val="20"/>
                      <w:szCs w:val="20"/>
                    </w:rPr>
                    <m:t>K</m:t>
                  </m:r>
                </m:e>
                <m:sub>
                  <m:r>
                    <m:rPr>
                      <m:sty m:val="p"/>
                    </m:rPr>
                    <w:rPr>
                      <w:rFonts w:ascii="Cambria Math" w:eastAsiaTheme="minorEastAsia" w:hAnsi="Cambria Math" w:cs="Times New Roman"/>
                      <w:color w:val="0070C0"/>
                      <w:sz w:val="20"/>
                      <w:szCs w:val="20"/>
                    </w:rPr>
                    <m:t>t</m:t>
                  </m:r>
                </m:sub>
              </m:sSub>
              <m:r>
                <m:rPr>
                  <m:sty m:val="p"/>
                </m:rPr>
                <w:rPr>
                  <w:rFonts w:ascii="Cambria Math" w:eastAsiaTheme="minorEastAsia" w:hAnsi="Cambria Math" w:cs="Times New Roman"/>
                  <w:color w:val="0070C0"/>
                  <w:sz w:val="20"/>
                  <w:szCs w:val="20"/>
                </w:rPr>
                <m:t>+</m:t>
              </m:r>
              <m:sSub>
                <m:sSubPr>
                  <m:ctrlPr>
                    <w:rPr>
                      <w:rFonts w:ascii="Cambria Math" w:eastAsiaTheme="minorEastAsia" w:hAnsi="Cambria Math" w:cs="Times New Roman"/>
                      <w:color w:val="0070C0"/>
                      <w:sz w:val="20"/>
                      <w:szCs w:val="20"/>
                    </w:rPr>
                  </m:ctrlPr>
                </m:sSubPr>
                <m:e>
                  <m:r>
                    <m:rPr>
                      <m:sty m:val="p"/>
                    </m:rPr>
                    <w:rPr>
                      <w:rFonts w:ascii="Cambria Math" w:eastAsiaTheme="minorEastAsia" w:hAnsi="Cambria Math" w:cs="Times New Roman"/>
                      <w:color w:val="0070C0"/>
                      <w:sz w:val="20"/>
                      <w:szCs w:val="20"/>
                    </w:rPr>
                    <m:t>e</m:t>
                  </m:r>
                </m:e>
                <m:sub>
                  <m:r>
                    <m:rPr>
                      <m:sty m:val="p"/>
                    </m:rPr>
                    <w:rPr>
                      <w:rFonts w:ascii="Cambria Math" w:eastAsiaTheme="minorEastAsia" w:hAnsi="Cambria Math" w:cs="Times New Roman"/>
                      <w:color w:val="0070C0"/>
                      <w:sz w:val="20"/>
                      <w:szCs w:val="20"/>
                    </w:rPr>
                    <m:t>t</m:t>
                  </m:r>
                </m:sub>
              </m:sSub>
            </m:oMath>
          </w:p>
        </w:tc>
      </w:tr>
    </w:tbl>
    <w:p w:rsidR="00CC5215" w:rsidRPr="00661675" w:rsidRDefault="00CC5215" w:rsidP="00915B7F">
      <w:pPr>
        <w:widowControl w:val="0"/>
        <w:autoSpaceDE w:val="0"/>
        <w:autoSpaceDN w:val="0"/>
        <w:adjustRightInd w:val="0"/>
        <w:spacing w:after="120" w:line="240" w:lineRule="auto"/>
        <w:rPr>
          <w:rFonts w:ascii="Times New Roman" w:eastAsiaTheme="minorEastAsia" w:hAnsi="Times New Roman" w:cs="Times New Roman"/>
          <w:sz w:val="20"/>
          <w:szCs w:val="20"/>
        </w:rPr>
      </w:pPr>
    </w:p>
    <w:p w:rsidR="00380D96" w:rsidRPr="00661675" w:rsidRDefault="00380D96" w:rsidP="00B71AE9">
      <w:pPr>
        <w:widowControl w:val="0"/>
        <w:autoSpaceDE w:val="0"/>
        <w:autoSpaceDN w:val="0"/>
        <w:adjustRightInd w:val="0"/>
        <w:spacing w:after="120" w:line="240" w:lineRule="auto"/>
        <w:jc w:val="both"/>
        <w:rPr>
          <w:rFonts w:ascii="Times New Roman" w:eastAsiaTheme="minorEastAsia" w:hAnsi="Times New Roman" w:cs="Times New Roman"/>
          <w:sz w:val="20"/>
          <w:szCs w:val="20"/>
        </w:rPr>
      </w:pPr>
      <w:r w:rsidRPr="00661675">
        <w:rPr>
          <w:rFonts w:ascii="Times New Roman" w:eastAsiaTheme="minorEastAsia" w:hAnsi="Times New Roman" w:cs="Times New Roman"/>
          <w:sz w:val="20"/>
          <w:szCs w:val="20"/>
        </w:rPr>
        <w:t>Previo a la presentación de resultados, es importante señalar que la información estadística utilizada tiene como principal fuente la que publica el I</w:t>
      </w:r>
      <w:r w:rsidR="00B7545B" w:rsidRPr="00661675">
        <w:rPr>
          <w:rFonts w:ascii="Times New Roman" w:eastAsiaTheme="minorEastAsia" w:hAnsi="Times New Roman" w:cs="Times New Roman"/>
          <w:sz w:val="20"/>
          <w:szCs w:val="20"/>
        </w:rPr>
        <w:t>FT</w:t>
      </w:r>
      <w:r w:rsidRPr="00661675">
        <w:rPr>
          <w:rFonts w:ascii="Times New Roman" w:eastAsiaTheme="minorEastAsia" w:hAnsi="Times New Roman" w:cs="Times New Roman"/>
          <w:sz w:val="20"/>
          <w:szCs w:val="20"/>
        </w:rPr>
        <w:t xml:space="preserve"> en su página de internet y en su Informe Trimestral Estadístico, así como el despacho </w:t>
      </w:r>
      <w:proofErr w:type="spellStart"/>
      <w:r w:rsidRPr="00661675">
        <w:rPr>
          <w:rFonts w:ascii="Times New Roman" w:eastAsiaTheme="minorEastAsia" w:hAnsi="Times New Roman" w:cs="Times New Roman"/>
          <w:sz w:val="20"/>
          <w:szCs w:val="20"/>
        </w:rPr>
        <w:t>Ovum</w:t>
      </w:r>
      <w:proofErr w:type="spellEnd"/>
      <w:r w:rsidR="00B75E6A" w:rsidRPr="00661675">
        <w:rPr>
          <w:rFonts w:ascii="Times New Roman" w:eastAsiaTheme="minorEastAsia" w:hAnsi="Times New Roman" w:cs="Times New Roman"/>
          <w:sz w:val="20"/>
          <w:szCs w:val="20"/>
        </w:rPr>
        <w:t xml:space="preserve"> y Global </w:t>
      </w:r>
      <w:proofErr w:type="spellStart"/>
      <w:r w:rsidR="00B75E6A" w:rsidRPr="00661675">
        <w:rPr>
          <w:rFonts w:ascii="Times New Roman" w:eastAsiaTheme="minorEastAsia" w:hAnsi="Times New Roman" w:cs="Times New Roman"/>
          <w:sz w:val="20"/>
          <w:szCs w:val="20"/>
        </w:rPr>
        <w:t>Matrix</w:t>
      </w:r>
      <w:proofErr w:type="spellEnd"/>
      <w:r w:rsidR="00B75E6A" w:rsidRPr="00661675">
        <w:rPr>
          <w:rFonts w:ascii="Times New Roman" w:eastAsiaTheme="minorEastAsia" w:hAnsi="Times New Roman" w:cs="Times New Roman"/>
          <w:sz w:val="20"/>
          <w:szCs w:val="20"/>
        </w:rPr>
        <w:t>. En este caso las estimaciones cubren hasta el segundo semestre de 2015</w:t>
      </w:r>
      <w:r w:rsidRPr="00661675">
        <w:rPr>
          <w:rFonts w:ascii="Times New Roman" w:eastAsiaTheme="minorEastAsia" w:hAnsi="Times New Roman" w:cs="Times New Roman"/>
          <w:sz w:val="20"/>
          <w:szCs w:val="20"/>
        </w:rPr>
        <w:t>.</w:t>
      </w:r>
      <w:r w:rsidRPr="00661675">
        <w:rPr>
          <w:rStyle w:val="Refdenotaalpie"/>
          <w:rFonts w:ascii="Times New Roman" w:eastAsiaTheme="minorEastAsia" w:hAnsi="Times New Roman" w:cs="Times New Roman"/>
          <w:sz w:val="20"/>
          <w:szCs w:val="20"/>
        </w:rPr>
        <w:footnoteReference w:id="15"/>
      </w:r>
      <w:r w:rsidRPr="00661675">
        <w:rPr>
          <w:rFonts w:ascii="Times New Roman" w:eastAsiaTheme="minorEastAsia" w:hAnsi="Times New Roman" w:cs="Times New Roman"/>
          <w:sz w:val="20"/>
          <w:szCs w:val="20"/>
        </w:rPr>
        <w:t xml:space="preserve"> </w:t>
      </w:r>
    </w:p>
    <w:p w:rsidR="007050A1" w:rsidRPr="00661675" w:rsidRDefault="007050A1" w:rsidP="009A32CB">
      <w:pPr>
        <w:jc w:val="both"/>
        <w:rPr>
          <w:rFonts w:ascii="Times New Roman" w:eastAsiaTheme="majorEastAsia" w:hAnsi="Times New Roman" w:cs="Times New Roman"/>
          <w:color w:val="000000" w:themeColor="text1"/>
          <w:sz w:val="20"/>
          <w:szCs w:val="20"/>
        </w:rPr>
      </w:pPr>
    </w:p>
    <w:p w:rsidR="00E66EB6" w:rsidRPr="00661675" w:rsidRDefault="00E66EB6" w:rsidP="00B71AE9">
      <w:pPr>
        <w:pStyle w:val="Ttulo2"/>
        <w:keepNext w:val="0"/>
        <w:keepLines w:val="0"/>
        <w:widowControl w:val="0"/>
        <w:autoSpaceDE w:val="0"/>
        <w:autoSpaceDN w:val="0"/>
        <w:adjustRightInd w:val="0"/>
        <w:spacing w:before="0" w:after="120" w:line="240" w:lineRule="auto"/>
        <w:jc w:val="both"/>
        <w:rPr>
          <w:rFonts w:ascii="Arial" w:hAnsi="Arial" w:cs="Arial"/>
          <w:caps/>
          <w:color w:val="000000" w:themeColor="text1"/>
          <w:sz w:val="18"/>
          <w:szCs w:val="18"/>
        </w:rPr>
      </w:pPr>
      <w:r w:rsidRPr="00661675">
        <w:rPr>
          <w:rFonts w:ascii="Arial" w:hAnsi="Arial" w:cs="Arial"/>
          <w:b/>
          <w:caps/>
          <w:color w:val="000000" w:themeColor="text1"/>
          <w:sz w:val="18"/>
          <w:szCs w:val="18"/>
        </w:rPr>
        <w:t>Evaluación de los Efectos previstos por el Modelo planteado por Peitz</w:t>
      </w:r>
    </w:p>
    <w:p w:rsidR="00984F06" w:rsidRPr="00661675" w:rsidRDefault="00984F06" w:rsidP="00B71AE9">
      <w:pPr>
        <w:widowControl w:val="0"/>
        <w:autoSpaceDE w:val="0"/>
        <w:autoSpaceDN w:val="0"/>
        <w:adjustRightInd w:val="0"/>
        <w:spacing w:after="120" w:line="240" w:lineRule="auto"/>
        <w:jc w:val="both"/>
        <w:rPr>
          <w:rFonts w:ascii="Arial" w:eastAsiaTheme="minorEastAsia" w:hAnsi="Arial" w:cs="Arial"/>
          <w:b/>
          <w:sz w:val="18"/>
          <w:szCs w:val="18"/>
        </w:rPr>
      </w:pPr>
      <w:r w:rsidRPr="00661675">
        <w:rPr>
          <w:rFonts w:ascii="Arial" w:eastAsiaTheme="minorEastAsia" w:hAnsi="Arial" w:cs="Arial"/>
          <w:b/>
          <w:sz w:val="18"/>
          <w:szCs w:val="18"/>
        </w:rPr>
        <w:t>Resultados de la aplicación de los Modelos</w:t>
      </w:r>
      <w:r w:rsidR="00E66EB6" w:rsidRPr="00661675">
        <w:rPr>
          <w:rFonts w:ascii="Arial" w:eastAsiaTheme="minorEastAsia" w:hAnsi="Arial" w:cs="Arial"/>
          <w:color w:val="0070C0"/>
          <w:sz w:val="18"/>
          <w:szCs w:val="18"/>
        </w:rPr>
        <w:t xml:space="preserve"> </w:t>
      </w:r>
      <w:r w:rsidR="00462446" w:rsidRPr="00661675">
        <w:rPr>
          <w:rFonts w:ascii="Arial" w:eastAsiaTheme="minorEastAsia" w:hAnsi="Arial" w:cs="Arial"/>
          <w:b/>
          <w:sz w:val="18"/>
          <w:szCs w:val="18"/>
        </w:rPr>
        <w:t>Ajustado</w:t>
      </w:r>
      <w:r w:rsidR="00ED76BB" w:rsidRPr="00661675">
        <w:rPr>
          <w:rFonts w:ascii="Arial" w:eastAsiaTheme="minorEastAsia" w:hAnsi="Arial" w:cs="Arial"/>
          <w:b/>
          <w:sz w:val="18"/>
          <w:szCs w:val="18"/>
        </w:rPr>
        <w:t>s</w:t>
      </w:r>
      <w:r w:rsidR="00462446" w:rsidRPr="00661675">
        <w:rPr>
          <w:rFonts w:ascii="Arial" w:eastAsiaTheme="minorEastAsia" w:hAnsi="Arial" w:cs="Arial"/>
          <w:b/>
          <w:sz w:val="18"/>
          <w:szCs w:val="18"/>
        </w:rPr>
        <w:t xml:space="preserve"> a México</w:t>
      </w:r>
    </w:p>
    <w:p w:rsidR="002A6A9E" w:rsidRPr="00661675" w:rsidRDefault="002A6A9E" w:rsidP="00B71AE9">
      <w:pPr>
        <w:widowControl w:val="0"/>
        <w:autoSpaceDE w:val="0"/>
        <w:autoSpaceDN w:val="0"/>
        <w:adjustRightInd w:val="0"/>
        <w:spacing w:after="120" w:line="240" w:lineRule="auto"/>
        <w:jc w:val="both"/>
        <w:rPr>
          <w:rFonts w:ascii="Times New Roman" w:hAnsi="Times New Roman" w:cs="Times New Roman"/>
          <w:sz w:val="20"/>
          <w:szCs w:val="20"/>
        </w:rPr>
      </w:pPr>
      <w:r w:rsidRPr="00661675">
        <w:rPr>
          <w:rFonts w:ascii="Times New Roman" w:hAnsi="Times New Roman" w:cs="Times New Roman"/>
          <w:sz w:val="20"/>
          <w:szCs w:val="20"/>
        </w:rPr>
        <w:t>Los modelos estimados a part</w:t>
      </w:r>
      <w:r w:rsidR="00ED76BB" w:rsidRPr="00661675">
        <w:rPr>
          <w:rFonts w:ascii="Times New Roman" w:hAnsi="Times New Roman" w:cs="Times New Roman"/>
          <w:sz w:val="20"/>
          <w:szCs w:val="20"/>
        </w:rPr>
        <w:t xml:space="preserve">ir de las Ecuaciones 1 y 2 son </w:t>
      </w:r>
      <w:r w:rsidRPr="00661675">
        <w:rPr>
          <w:rFonts w:ascii="Times New Roman" w:hAnsi="Times New Roman" w:cs="Times New Roman"/>
          <w:sz w:val="20"/>
          <w:szCs w:val="20"/>
        </w:rPr>
        <w:t>series de tiempo, por lo que se aplicaron en todos los casos las prueb</w:t>
      </w:r>
      <w:r w:rsidR="00993510" w:rsidRPr="00661675">
        <w:rPr>
          <w:rFonts w:ascii="Times New Roman" w:hAnsi="Times New Roman" w:cs="Times New Roman"/>
          <w:sz w:val="20"/>
          <w:szCs w:val="20"/>
        </w:rPr>
        <w:t>as de correlación,</w:t>
      </w:r>
      <w:r w:rsidR="00661675">
        <w:rPr>
          <w:rFonts w:ascii="Times New Roman" w:hAnsi="Times New Roman" w:cs="Times New Roman"/>
          <w:sz w:val="20"/>
          <w:szCs w:val="20"/>
        </w:rPr>
        <w:t xml:space="preserve"> </w:t>
      </w:r>
      <w:proofErr w:type="spellStart"/>
      <w:r w:rsidR="00B7545B" w:rsidRPr="00661675">
        <w:rPr>
          <w:rFonts w:ascii="Times New Roman" w:hAnsi="Times New Roman" w:cs="Times New Roman"/>
          <w:sz w:val="20"/>
          <w:szCs w:val="20"/>
        </w:rPr>
        <w:t>Durbin</w:t>
      </w:r>
      <w:proofErr w:type="spellEnd"/>
      <w:r w:rsidR="00B7545B" w:rsidRPr="00661675">
        <w:rPr>
          <w:rFonts w:ascii="Times New Roman" w:hAnsi="Times New Roman" w:cs="Times New Roman"/>
          <w:sz w:val="20"/>
          <w:szCs w:val="20"/>
        </w:rPr>
        <w:t xml:space="preserve"> Watson tratándose de la Ecuación 1</w:t>
      </w:r>
      <w:r w:rsidR="00144E9B">
        <w:rPr>
          <w:rFonts w:ascii="Times New Roman" w:hAnsi="Times New Roman" w:cs="Times New Roman"/>
          <w:sz w:val="20"/>
          <w:szCs w:val="20"/>
        </w:rPr>
        <w:t>,</w:t>
      </w:r>
      <w:r w:rsidR="00B7545B" w:rsidRPr="00661675">
        <w:rPr>
          <w:rFonts w:ascii="Times New Roman" w:hAnsi="Times New Roman" w:cs="Times New Roman"/>
          <w:sz w:val="20"/>
          <w:szCs w:val="20"/>
        </w:rPr>
        <w:t xml:space="preserve"> y</w:t>
      </w:r>
      <w:r w:rsidR="00B75E6A" w:rsidRPr="00661675">
        <w:rPr>
          <w:rFonts w:ascii="Times New Roman" w:hAnsi="Times New Roman" w:cs="Times New Roman"/>
          <w:sz w:val="20"/>
          <w:szCs w:val="20"/>
        </w:rPr>
        <w:t xml:space="preserve"> </w:t>
      </w:r>
      <w:proofErr w:type="spellStart"/>
      <w:r w:rsidR="00B75E6A" w:rsidRPr="00661675">
        <w:rPr>
          <w:rFonts w:ascii="Times New Roman" w:hAnsi="Times New Roman" w:cs="Times New Roman"/>
          <w:sz w:val="20"/>
          <w:szCs w:val="20"/>
        </w:rPr>
        <w:t>Durbin</w:t>
      </w:r>
      <w:proofErr w:type="spellEnd"/>
      <w:r w:rsidR="00B75E6A" w:rsidRPr="00661675">
        <w:rPr>
          <w:rFonts w:ascii="Times New Roman" w:hAnsi="Times New Roman" w:cs="Times New Roman"/>
          <w:sz w:val="20"/>
          <w:szCs w:val="20"/>
        </w:rPr>
        <w:t xml:space="preserve"> H para la Ecuac</w:t>
      </w:r>
      <w:r w:rsidR="00B7545B" w:rsidRPr="00661675">
        <w:rPr>
          <w:rFonts w:ascii="Times New Roman" w:hAnsi="Times New Roman" w:cs="Times New Roman"/>
          <w:sz w:val="20"/>
          <w:szCs w:val="20"/>
        </w:rPr>
        <w:t>ión 2</w:t>
      </w:r>
      <w:r w:rsidR="00993510" w:rsidRPr="00661675">
        <w:rPr>
          <w:rStyle w:val="Refdenotaalpie"/>
          <w:rFonts w:ascii="Times New Roman" w:hAnsi="Times New Roman" w:cs="Times New Roman"/>
          <w:sz w:val="20"/>
          <w:szCs w:val="20"/>
        </w:rPr>
        <w:footnoteReference w:id="16"/>
      </w:r>
      <w:r w:rsidR="00993510" w:rsidRPr="00661675">
        <w:rPr>
          <w:rFonts w:ascii="Times New Roman" w:hAnsi="Times New Roman" w:cs="Times New Roman"/>
          <w:sz w:val="20"/>
          <w:szCs w:val="20"/>
        </w:rPr>
        <w:t>. Se rechazó</w:t>
      </w:r>
      <w:r w:rsidRPr="00661675">
        <w:rPr>
          <w:rFonts w:ascii="Times New Roman" w:hAnsi="Times New Roman" w:cs="Times New Roman"/>
          <w:sz w:val="20"/>
          <w:szCs w:val="20"/>
        </w:rPr>
        <w:t xml:space="preserve"> la existencia d</w:t>
      </w:r>
      <w:r w:rsidR="0020371C">
        <w:rPr>
          <w:rFonts w:ascii="Times New Roman" w:hAnsi="Times New Roman" w:cs="Times New Roman"/>
          <w:sz w:val="20"/>
          <w:szCs w:val="20"/>
        </w:rPr>
        <w:t>e correlación serial en los cuatro</w:t>
      </w:r>
      <w:r w:rsidRPr="00661675">
        <w:rPr>
          <w:rFonts w:ascii="Times New Roman" w:hAnsi="Times New Roman" w:cs="Times New Roman"/>
          <w:sz w:val="20"/>
          <w:szCs w:val="20"/>
        </w:rPr>
        <w:t xml:space="preserve"> casos.  Así también se realizaron pruebas White de </w:t>
      </w:r>
      <w:proofErr w:type="spellStart"/>
      <w:r w:rsidRPr="00661675">
        <w:rPr>
          <w:rFonts w:ascii="Times New Roman" w:hAnsi="Times New Roman" w:cs="Times New Roman"/>
          <w:sz w:val="20"/>
          <w:szCs w:val="20"/>
        </w:rPr>
        <w:t>heterocedasticidad</w:t>
      </w:r>
      <w:proofErr w:type="spellEnd"/>
      <w:r w:rsidRPr="00661675">
        <w:rPr>
          <w:rFonts w:ascii="Times New Roman" w:hAnsi="Times New Roman" w:cs="Times New Roman"/>
          <w:sz w:val="20"/>
          <w:szCs w:val="20"/>
        </w:rPr>
        <w:t>. No pudo rechazarse en ningún caso la hipótesis nula, por lo que se aplicaron las correcciones corre</w:t>
      </w:r>
      <w:r w:rsidR="0004075D" w:rsidRPr="00661675">
        <w:rPr>
          <w:rFonts w:ascii="Times New Roman" w:hAnsi="Times New Roman" w:cs="Times New Roman"/>
          <w:sz w:val="20"/>
          <w:szCs w:val="20"/>
        </w:rPr>
        <w:t>spondientes, y en las tablas 1 a 3</w:t>
      </w:r>
      <w:r w:rsidRPr="00661675">
        <w:rPr>
          <w:rFonts w:ascii="Times New Roman" w:hAnsi="Times New Roman" w:cs="Times New Roman"/>
          <w:sz w:val="20"/>
          <w:szCs w:val="20"/>
        </w:rPr>
        <w:t xml:space="preserve"> se presentan </w:t>
      </w:r>
      <w:r w:rsidR="00A43B62" w:rsidRPr="00661675">
        <w:rPr>
          <w:rFonts w:ascii="Times New Roman" w:hAnsi="Times New Roman" w:cs="Times New Roman"/>
          <w:sz w:val="20"/>
          <w:szCs w:val="20"/>
        </w:rPr>
        <w:t xml:space="preserve"> </w:t>
      </w:r>
      <w:r w:rsidR="002C12F8" w:rsidRPr="00661675">
        <w:rPr>
          <w:rFonts w:ascii="Times New Roman" w:hAnsi="Times New Roman" w:cs="Times New Roman"/>
          <w:sz w:val="20"/>
          <w:szCs w:val="20"/>
        </w:rPr>
        <w:t xml:space="preserve">los </w:t>
      </w:r>
      <w:r w:rsidR="00144E9B">
        <w:rPr>
          <w:rFonts w:ascii="Times New Roman" w:hAnsi="Times New Roman" w:cs="Times New Roman"/>
          <w:sz w:val="20"/>
          <w:szCs w:val="20"/>
        </w:rPr>
        <w:t>coeficientes con errores robustos</w:t>
      </w:r>
      <w:r w:rsidR="0004075D" w:rsidRPr="00661675">
        <w:rPr>
          <w:rFonts w:ascii="Times New Roman" w:hAnsi="Times New Roman" w:cs="Times New Roman"/>
          <w:sz w:val="20"/>
          <w:szCs w:val="20"/>
        </w:rPr>
        <w:t xml:space="preserve">. </w:t>
      </w:r>
    </w:p>
    <w:p w:rsidR="007C1648" w:rsidRDefault="00E66EB6" w:rsidP="00B71AE9">
      <w:pPr>
        <w:widowControl w:val="0"/>
        <w:autoSpaceDE w:val="0"/>
        <w:autoSpaceDN w:val="0"/>
        <w:adjustRightInd w:val="0"/>
        <w:spacing w:after="120" w:line="240" w:lineRule="auto"/>
        <w:jc w:val="both"/>
        <w:rPr>
          <w:rFonts w:ascii="Times New Roman" w:hAnsi="Times New Roman" w:cs="Times New Roman"/>
          <w:sz w:val="20"/>
          <w:szCs w:val="20"/>
        </w:rPr>
      </w:pPr>
      <w:r w:rsidRPr="00661675">
        <w:rPr>
          <w:rFonts w:ascii="Times New Roman" w:eastAsiaTheme="minorEastAsia" w:hAnsi="Times New Roman" w:cs="Times New Roman"/>
          <w:sz w:val="20"/>
          <w:szCs w:val="20"/>
        </w:rPr>
        <w:t>Los resultados de la aplicación de la ecua</w:t>
      </w:r>
      <w:r w:rsidR="000219B3" w:rsidRPr="00661675">
        <w:rPr>
          <w:rFonts w:ascii="Times New Roman" w:eastAsiaTheme="minorEastAsia" w:hAnsi="Times New Roman" w:cs="Times New Roman"/>
          <w:sz w:val="20"/>
          <w:szCs w:val="20"/>
        </w:rPr>
        <w:t>ción 1 se resumen en el cuadro 1</w:t>
      </w:r>
      <w:r w:rsidR="00462446" w:rsidRPr="00661675">
        <w:rPr>
          <w:rFonts w:ascii="Times New Roman" w:eastAsiaTheme="minorEastAsia" w:hAnsi="Times New Roman" w:cs="Times New Roman"/>
          <w:sz w:val="20"/>
          <w:szCs w:val="20"/>
        </w:rPr>
        <w:t>.</w:t>
      </w:r>
      <w:r w:rsidRPr="00661675">
        <w:rPr>
          <w:rFonts w:ascii="Times New Roman" w:eastAsiaTheme="minorEastAsia" w:hAnsi="Times New Roman" w:cs="Times New Roman"/>
          <w:sz w:val="20"/>
          <w:szCs w:val="20"/>
        </w:rPr>
        <w:t xml:space="preserve"> Se aprecia que t</w:t>
      </w:r>
      <w:r w:rsidRPr="00661675">
        <w:rPr>
          <w:rFonts w:ascii="Times New Roman" w:hAnsi="Times New Roman" w:cs="Times New Roman"/>
          <w:sz w:val="20"/>
          <w:szCs w:val="20"/>
        </w:rPr>
        <w:t>odas las variables son estadísticamente significativas</w:t>
      </w:r>
      <w:r w:rsidRPr="002250E2">
        <w:rPr>
          <w:rFonts w:ascii="Times New Roman" w:hAnsi="Times New Roman" w:cs="Times New Roman"/>
          <w:sz w:val="20"/>
          <w:szCs w:val="20"/>
        </w:rPr>
        <w:t xml:space="preserve"> </w:t>
      </w:r>
      <w:r w:rsidR="00C83A98">
        <w:rPr>
          <w:rFonts w:ascii="Times New Roman" w:hAnsi="Times New Roman" w:cs="Times New Roman"/>
          <w:sz w:val="20"/>
          <w:szCs w:val="20"/>
        </w:rPr>
        <w:t xml:space="preserve">(al 99%) </w:t>
      </w:r>
      <w:r w:rsidRPr="002250E2">
        <w:rPr>
          <w:rFonts w:ascii="Times New Roman" w:hAnsi="Times New Roman" w:cs="Times New Roman"/>
          <w:sz w:val="20"/>
          <w:szCs w:val="20"/>
        </w:rPr>
        <w:t xml:space="preserve">y miden el efecto sobre </w:t>
      </w:r>
      <w:r w:rsidR="00462446" w:rsidRPr="002250E2">
        <w:rPr>
          <w:rFonts w:ascii="Times New Roman" w:hAnsi="Times New Roman" w:cs="Times New Roman"/>
          <w:sz w:val="20"/>
          <w:szCs w:val="20"/>
        </w:rPr>
        <w:t xml:space="preserve">el </w:t>
      </w:r>
      <w:proofErr w:type="spellStart"/>
      <w:r w:rsidR="00462446" w:rsidRPr="002250E2">
        <w:rPr>
          <w:rFonts w:ascii="Times New Roman" w:hAnsi="Times New Roman" w:cs="Times New Roman"/>
          <w:sz w:val="20"/>
          <w:szCs w:val="20"/>
        </w:rPr>
        <w:t>IpM</w:t>
      </w:r>
      <w:proofErr w:type="spellEnd"/>
      <w:r w:rsidR="00462446" w:rsidRPr="002250E2">
        <w:rPr>
          <w:rFonts w:ascii="Times New Roman" w:hAnsi="Times New Roman" w:cs="Times New Roman"/>
          <w:sz w:val="20"/>
          <w:szCs w:val="20"/>
        </w:rPr>
        <w:t xml:space="preserve"> de acuerdo a lo esperado</w:t>
      </w:r>
      <w:r w:rsidR="00137AA9" w:rsidRPr="002250E2">
        <w:rPr>
          <w:rFonts w:ascii="Times New Roman" w:hAnsi="Times New Roman" w:cs="Times New Roman"/>
          <w:sz w:val="20"/>
          <w:szCs w:val="20"/>
        </w:rPr>
        <w:t xml:space="preserve"> </w:t>
      </w:r>
      <w:r w:rsidR="00462446" w:rsidRPr="002250E2">
        <w:rPr>
          <w:rFonts w:ascii="Times New Roman" w:hAnsi="Times New Roman" w:cs="Times New Roman"/>
          <w:sz w:val="20"/>
          <w:szCs w:val="20"/>
        </w:rPr>
        <w:t xml:space="preserve"> para el periodo </w:t>
      </w:r>
      <w:r w:rsidR="00137AA9" w:rsidRPr="002250E2">
        <w:rPr>
          <w:rFonts w:ascii="Times New Roman" w:hAnsi="Times New Roman" w:cs="Times New Roman"/>
          <w:sz w:val="20"/>
          <w:szCs w:val="20"/>
        </w:rPr>
        <w:t xml:space="preserve">estudiado. </w:t>
      </w:r>
    </w:p>
    <w:p w:rsidR="00AC1E5D" w:rsidRPr="002250E2" w:rsidRDefault="00AC1E5D" w:rsidP="00B71AE9">
      <w:pPr>
        <w:widowControl w:val="0"/>
        <w:autoSpaceDE w:val="0"/>
        <w:autoSpaceDN w:val="0"/>
        <w:adjustRightInd w:val="0"/>
        <w:spacing w:after="120" w:line="240" w:lineRule="auto"/>
        <w:jc w:val="both"/>
        <w:rPr>
          <w:color w:val="0070C0"/>
          <w:sz w:val="20"/>
          <w:szCs w:val="20"/>
        </w:rPr>
      </w:pPr>
    </w:p>
    <w:tbl>
      <w:tblPr>
        <w:tblW w:w="0" w:type="auto"/>
        <w:jc w:val="center"/>
        <w:tblLayout w:type="fixed"/>
        <w:tblCellMar>
          <w:left w:w="75" w:type="dxa"/>
          <w:right w:w="75" w:type="dxa"/>
        </w:tblCellMar>
        <w:tblLook w:val="0000" w:firstRow="0" w:lastRow="0" w:firstColumn="0" w:lastColumn="0" w:noHBand="0" w:noVBand="0"/>
      </w:tblPr>
      <w:tblGrid>
        <w:gridCol w:w="2127"/>
        <w:gridCol w:w="1984"/>
      </w:tblGrid>
      <w:tr w:rsidR="007C1648" w:rsidTr="007D37B6">
        <w:trPr>
          <w:jc w:val="center"/>
        </w:trPr>
        <w:tc>
          <w:tcPr>
            <w:tcW w:w="4111" w:type="dxa"/>
            <w:gridSpan w:val="2"/>
            <w:tcBorders>
              <w:top w:val="single" w:sz="6" w:space="0" w:color="auto"/>
              <w:left w:val="nil"/>
              <w:bottom w:val="double" w:sz="4" w:space="0" w:color="5B9BD5" w:themeColor="accent1"/>
              <w:right w:val="nil"/>
            </w:tcBorders>
          </w:tcPr>
          <w:p w:rsidR="007C1648" w:rsidRPr="0086478E" w:rsidRDefault="000219B3" w:rsidP="0004075D">
            <w:pPr>
              <w:widowControl w:val="0"/>
              <w:autoSpaceDE w:val="0"/>
              <w:autoSpaceDN w:val="0"/>
              <w:adjustRightInd w:val="0"/>
              <w:spacing w:after="0" w:line="240" w:lineRule="auto"/>
              <w:jc w:val="center"/>
              <w:rPr>
                <w:rFonts w:ascii="Times New Roman" w:hAnsi="Times New Roman" w:cs="Times New Roman"/>
                <w:sz w:val="18"/>
                <w:szCs w:val="18"/>
              </w:rPr>
            </w:pPr>
            <w:r w:rsidRPr="0086478E">
              <w:rPr>
                <w:rFonts w:ascii="Times New Roman" w:hAnsi="Times New Roman" w:cs="Times New Roman"/>
                <w:sz w:val="18"/>
                <w:szCs w:val="18"/>
              </w:rPr>
              <w:t>Cuadro 1</w:t>
            </w:r>
            <w:r w:rsidR="007C1648" w:rsidRPr="0086478E">
              <w:rPr>
                <w:rFonts w:ascii="Times New Roman" w:hAnsi="Times New Roman" w:cs="Times New Roman"/>
                <w:sz w:val="18"/>
                <w:szCs w:val="18"/>
              </w:rPr>
              <w:t xml:space="preserve">. </w:t>
            </w:r>
            <w:r w:rsidR="0004075D" w:rsidRPr="0086478E">
              <w:rPr>
                <w:rFonts w:ascii="Times New Roman" w:hAnsi="Times New Roman" w:cs="Times New Roman"/>
                <w:sz w:val="18"/>
                <w:szCs w:val="18"/>
              </w:rPr>
              <w:t xml:space="preserve">Impacto de la Asimetría en el </w:t>
            </w:r>
            <w:proofErr w:type="spellStart"/>
            <w:r w:rsidR="0004075D" w:rsidRPr="0086478E">
              <w:rPr>
                <w:rFonts w:ascii="Times New Roman" w:hAnsi="Times New Roman" w:cs="Times New Roman"/>
                <w:sz w:val="18"/>
                <w:szCs w:val="18"/>
              </w:rPr>
              <w:t>IpM</w:t>
            </w:r>
            <w:proofErr w:type="spellEnd"/>
          </w:p>
        </w:tc>
      </w:tr>
      <w:tr w:rsidR="0004075D" w:rsidTr="007D37B6">
        <w:trPr>
          <w:jc w:val="center"/>
        </w:trPr>
        <w:tc>
          <w:tcPr>
            <w:tcW w:w="4111" w:type="dxa"/>
            <w:gridSpan w:val="2"/>
            <w:tcBorders>
              <w:top w:val="double" w:sz="4" w:space="0" w:color="5B9BD5" w:themeColor="accent1"/>
              <w:left w:val="single" w:sz="4" w:space="0" w:color="auto"/>
              <w:bottom w:val="single" w:sz="4" w:space="0" w:color="auto"/>
              <w:right w:val="single" w:sz="4" w:space="0" w:color="auto"/>
            </w:tcBorders>
          </w:tcPr>
          <w:p w:rsidR="0004075D" w:rsidRPr="0086478E" w:rsidRDefault="0004075D" w:rsidP="0004075D">
            <w:pPr>
              <w:widowControl w:val="0"/>
              <w:autoSpaceDE w:val="0"/>
              <w:autoSpaceDN w:val="0"/>
              <w:adjustRightInd w:val="0"/>
              <w:spacing w:after="0" w:line="240" w:lineRule="auto"/>
              <w:jc w:val="center"/>
              <w:rPr>
                <w:rFonts w:ascii="Times New Roman" w:hAnsi="Times New Roman" w:cs="Times New Roman"/>
                <w:sz w:val="18"/>
                <w:szCs w:val="18"/>
              </w:rPr>
            </w:pPr>
            <w:r w:rsidRPr="0086478E">
              <w:rPr>
                <w:rFonts w:ascii="Times New Roman" w:hAnsi="Times New Roman" w:cs="Times New Roman"/>
                <w:sz w:val="18"/>
                <w:szCs w:val="18"/>
              </w:rPr>
              <w:t>Resultados de la Ecuación 1</w:t>
            </w:r>
          </w:p>
        </w:tc>
      </w:tr>
      <w:tr w:rsidR="007C1648" w:rsidRPr="006A46D7" w:rsidTr="007D37B6">
        <w:trPr>
          <w:jc w:val="center"/>
        </w:trPr>
        <w:tc>
          <w:tcPr>
            <w:tcW w:w="2127" w:type="dxa"/>
            <w:tcBorders>
              <w:top w:val="single" w:sz="4" w:space="0" w:color="auto"/>
              <w:left w:val="single" w:sz="4" w:space="0" w:color="auto"/>
              <w:bottom w:val="double" w:sz="4" w:space="0" w:color="5B9BD5" w:themeColor="accent1"/>
              <w:right w:val="single" w:sz="4" w:space="0" w:color="auto"/>
            </w:tcBorders>
          </w:tcPr>
          <w:p w:rsidR="007C1648" w:rsidRPr="0086478E" w:rsidRDefault="007C1648" w:rsidP="00D272C1">
            <w:pPr>
              <w:widowControl w:val="0"/>
              <w:autoSpaceDE w:val="0"/>
              <w:autoSpaceDN w:val="0"/>
              <w:adjustRightInd w:val="0"/>
              <w:spacing w:after="0" w:line="240" w:lineRule="auto"/>
              <w:rPr>
                <w:rFonts w:ascii="Times New Roman" w:hAnsi="Times New Roman" w:cs="Times New Roman"/>
                <w:sz w:val="18"/>
                <w:szCs w:val="18"/>
              </w:rPr>
            </w:pPr>
            <w:r w:rsidRPr="0086478E">
              <w:rPr>
                <w:rFonts w:ascii="Times New Roman" w:hAnsi="Times New Roman" w:cs="Times New Roman"/>
                <w:sz w:val="18"/>
                <w:szCs w:val="18"/>
              </w:rPr>
              <w:t>Variables</w:t>
            </w:r>
          </w:p>
        </w:tc>
        <w:tc>
          <w:tcPr>
            <w:tcW w:w="1984" w:type="dxa"/>
            <w:tcBorders>
              <w:top w:val="single" w:sz="4" w:space="0" w:color="auto"/>
              <w:left w:val="single" w:sz="4" w:space="0" w:color="auto"/>
              <w:bottom w:val="double" w:sz="4" w:space="0" w:color="5B9BD5" w:themeColor="accent1"/>
              <w:right w:val="single" w:sz="4" w:space="0" w:color="auto"/>
            </w:tcBorders>
          </w:tcPr>
          <w:p w:rsidR="007C1648" w:rsidRPr="0086478E" w:rsidRDefault="007C1648" w:rsidP="00D272C1">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86478E">
              <w:rPr>
                <w:rFonts w:ascii="Times New Roman" w:hAnsi="Times New Roman" w:cs="Times New Roman"/>
                <w:sz w:val="18"/>
                <w:szCs w:val="18"/>
              </w:rPr>
              <w:t>log_IpM</w:t>
            </w:r>
            <w:proofErr w:type="spellEnd"/>
          </w:p>
        </w:tc>
      </w:tr>
      <w:tr w:rsidR="007C1648" w:rsidRPr="006A46D7" w:rsidTr="007D37B6">
        <w:trPr>
          <w:jc w:val="center"/>
        </w:trPr>
        <w:tc>
          <w:tcPr>
            <w:tcW w:w="2127" w:type="dxa"/>
            <w:tcBorders>
              <w:top w:val="double" w:sz="4" w:space="0" w:color="5B9BD5" w:themeColor="accent1"/>
              <w:left w:val="single" w:sz="4" w:space="0" w:color="auto"/>
              <w:bottom w:val="single" w:sz="4" w:space="0" w:color="auto"/>
              <w:right w:val="single" w:sz="4" w:space="0" w:color="auto"/>
            </w:tcBorders>
          </w:tcPr>
          <w:p w:rsidR="007C1648" w:rsidRPr="00661675" w:rsidRDefault="007C1648" w:rsidP="00D272C1">
            <w:pPr>
              <w:widowControl w:val="0"/>
              <w:autoSpaceDE w:val="0"/>
              <w:autoSpaceDN w:val="0"/>
              <w:adjustRightInd w:val="0"/>
              <w:spacing w:after="0" w:line="240" w:lineRule="auto"/>
              <w:rPr>
                <w:rFonts w:ascii="Times New Roman" w:hAnsi="Times New Roman" w:cs="Times New Roman"/>
                <w:sz w:val="20"/>
                <w:szCs w:val="20"/>
              </w:rPr>
            </w:pPr>
          </w:p>
        </w:tc>
        <w:tc>
          <w:tcPr>
            <w:tcW w:w="1984" w:type="dxa"/>
            <w:tcBorders>
              <w:top w:val="double" w:sz="4" w:space="0" w:color="5B9BD5" w:themeColor="accent1"/>
              <w:left w:val="single" w:sz="4" w:space="0" w:color="auto"/>
              <w:bottom w:val="single" w:sz="4" w:space="0" w:color="auto"/>
              <w:right w:val="single" w:sz="4" w:space="0" w:color="auto"/>
            </w:tcBorders>
          </w:tcPr>
          <w:p w:rsidR="007C1648" w:rsidRPr="00661675" w:rsidRDefault="007C1648" w:rsidP="00D272C1">
            <w:pPr>
              <w:widowControl w:val="0"/>
              <w:autoSpaceDE w:val="0"/>
              <w:autoSpaceDN w:val="0"/>
              <w:adjustRightInd w:val="0"/>
              <w:spacing w:after="0" w:line="240" w:lineRule="auto"/>
              <w:jc w:val="center"/>
              <w:rPr>
                <w:rFonts w:ascii="Times New Roman" w:hAnsi="Times New Roman" w:cs="Times New Roman"/>
                <w:sz w:val="20"/>
                <w:szCs w:val="20"/>
              </w:rPr>
            </w:pPr>
          </w:p>
        </w:tc>
      </w:tr>
      <w:tr w:rsidR="007C1648" w:rsidRPr="006A46D7" w:rsidTr="007D37B6">
        <w:trPr>
          <w:jc w:val="center"/>
        </w:trPr>
        <w:tc>
          <w:tcPr>
            <w:tcW w:w="2127" w:type="dxa"/>
            <w:tcBorders>
              <w:top w:val="single" w:sz="4" w:space="0" w:color="auto"/>
              <w:left w:val="single" w:sz="4" w:space="0" w:color="auto"/>
              <w:bottom w:val="single" w:sz="4" w:space="0" w:color="auto"/>
              <w:right w:val="single" w:sz="4" w:space="0" w:color="auto"/>
            </w:tcBorders>
          </w:tcPr>
          <w:p w:rsidR="007C1648" w:rsidRPr="00661675" w:rsidRDefault="007C1648" w:rsidP="00D272C1">
            <w:pPr>
              <w:widowControl w:val="0"/>
              <w:autoSpaceDE w:val="0"/>
              <w:autoSpaceDN w:val="0"/>
              <w:adjustRightInd w:val="0"/>
              <w:spacing w:after="0" w:line="240" w:lineRule="auto"/>
              <w:rPr>
                <w:rFonts w:ascii="Times New Roman" w:hAnsi="Times New Roman" w:cs="Times New Roman"/>
                <w:sz w:val="20"/>
                <w:szCs w:val="20"/>
              </w:rPr>
            </w:pPr>
            <w:proofErr w:type="spellStart"/>
            <w:r w:rsidRPr="00661675">
              <w:rPr>
                <w:rFonts w:ascii="Times New Roman" w:hAnsi="Times New Roman" w:cs="Times New Roman"/>
                <w:sz w:val="20"/>
                <w:szCs w:val="20"/>
              </w:rPr>
              <w:t>logTTM_prom</w:t>
            </w:r>
            <w:proofErr w:type="spellEnd"/>
          </w:p>
        </w:tc>
        <w:tc>
          <w:tcPr>
            <w:tcW w:w="1984" w:type="dxa"/>
            <w:tcBorders>
              <w:top w:val="single" w:sz="4" w:space="0" w:color="auto"/>
              <w:left w:val="single" w:sz="4" w:space="0" w:color="auto"/>
              <w:bottom w:val="single" w:sz="4" w:space="0" w:color="auto"/>
              <w:right w:val="single" w:sz="4" w:space="0" w:color="auto"/>
            </w:tcBorders>
          </w:tcPr>
          <w:p w:rsidR="007C1648" w:rsidRPr="00661675" w:rsidRDefault="007C1648" w:rsidP="00D272C1">
            <w:pPr>
              <w:widowControl w:val="0"/>
              <w:autoSpaceDE w:val="0"/>
              <w:autoSpaceDN w:val="0"/>
              <w:adjustRightInd w:val="0"/>
              <w:spacing w:after="0" w:line="240" w:lineRule="auto"/>
              <w:jc w:val="center"/>
              <w:rPr>
                <w:rFonts w:ascii="Times New Roman" w:hAnsi="Times New Roman" w:cs="Times New Roman"/>
                <w:sz w:val="20"/>
                <w:szCs w:val="20"/>
              </w:rPr>
            </w:pPr>
            <w:r w:rsidRPr="00661675">
              <w:rPr>
                <w:rFonts w:ascii="Times New Roman" w:hAnsi="Times New Roman" w:cs="Times New Roman"/>
                <w:sz w:val="20"/>
                <w:szCs w:val="20"/>
              </w:rPr>
              <w:t>0.0616***</w:t>
            </w:r>
          </w:p>
        </w:tc>
      </w:tr>
      <w:tr w:rsidR="007C1648" w:rsidRPr="006A46D7" w:rsidTr="007D37B6">
        <w:trPr>
          <w:jc w:val="center"/>
        </w:trPr>
        <w:tc>
          <w:tcPr>
            <w:tcW w:w="2127" w:type="dxa"/>
            <w:tcBorders>
              <w:top w:val="single" w:sz="4" w:space="0" w:color="auto"/>
              <w:left w:val="single" w:sz="4" w:space="0" w:color="auto"/>
              <w:bottom w:val="single" w:sz="4" w:space="0" w:color="auto"/>
              <w:right w:val="single" w:sz="4" w:space="0" w:color="auto"/>
            </w:tcBorders>
          </w:tcPr>
          <w:p w:rsidR="007C1648" w:rsidRPr="00661675" w:rsidRDefault="007C1648" w:rsidP="00D272C1">
            <w:pPr>
              <w:widowControl w:val="0"/>
              <w:autoSpaceDE w:val="0"/>
              <w:autoSpaceDN w:val="0"/>
              <w:adjustRightInd w:val="0"/>
              <w:spacing w:after="0" w:line="240"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7C1648" w:rsidRPr="00661675" w:rsidRDefault="007C1648" w:rsidP="00D272C1">
            <w:pPr>
              <w:widowControl w:val="0"/>
              <w:autoSpaceDE w:val="0"/>
              <w:autoSpaceDN w:val="0"/>
              <w:adjustRightInd w:val="0"/>
              <w:spacing w:after="0" w:line="240" w:lineRule="auto"/>
              <w:jc w:val="center"/>
              <w:rPr>
                <w:rFonts w:ascii="Times New Roman" w:hAnsi="Times New Roman" w:cs="Times New Roman"/>
                <w:sz w:val="20"/>
                <w:szCs w:val="20"/>
              </w:rPr>
            </w:pPr>
            <w:r w:rsidRPr="00661675">
              <w:rPr>
                <w:rFonts w:ascii="Times New Roman" w:hAnsi="Times New Roman" w:cs="Times New Roman"/>
                <w:sz w:val="20"/>
                <w:szCs w:val="20"/>
              </w:rPr>
              <w:t>(0.0198)</w:t>
            </w:r>
          </w:p>
        </w:tc>
      </w:tr>
      <w:tr w:rsidR="007C1648" w:rsidRPr="006A46D7" w:rsidTr="007D37B6">
        <w:trPr>
          <w:jc w:val="center"/>
        </w:trPr>
        <w:tc>
          <w:tcPr>
            <w:tcW w:w="2127" w:type="dxa"/>
            <w:tcBorders>
              <w:top w:val="single" w:sz="4" w:space="0" w:color="auto"/>
              <w:left w:val="single" w:sz="4" w:space="0" w:color="auto"/>
              <w:bottom w:val="single" w:sz="4" w:space="0" w:color="auto"/>
              <w:right w:val="single" w:sz="4" w:space="0" w:color="auto"/>
            </w:tcBorders>
          </w:tcPr>
          <w:p w:rsidR="007C1648" w:rsidRPr="00661675" w:rsidRDefault="00AC1E5D" w:rsidP="00D272C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AR</w:t>
            </w:r>
          </w:p>
        </w:tc>
        <w:tc>
          <w:tcPr>
            <w:tcW w:w="1984" w:type="dxa"/>
            <w:tcBorders>
              <w:top w:val="single" w:sz="4" w:space="0" w:color="auto"/>
              <w:left w:val="single" w:sz="4" w:space="0" w:color="auto"/>
              <w:bottom w:val="single" w:sz="4" w:space="0" w:color="auto"/>
              <w:right w:val="single" w:sz="4" w:space="0" w:color="auto"/>
            </w:tcBorders>
          </w:tcPr>
          <w:p w:rsidR="007C1648" w:rsidRPr="00661675" w:rsidRDefault="0004075D" w:rsidP="00D272C1">
            <w:pPr>
              <w:widowControl w:val="0"/>
              <w:autoSpaceDE w:val="0"/>
              <w:autoSpaceDN w:val="0"/>
              <w:adjustRightInd w:val="0"/>
              <w:spacing w:after="0" w:line="240" w:lineRule="auto"/>
              <w:jc w:val="center"/>
              <w:rPr>
                <w:rFonts w:ascii="Times New Roman" w:hAnsi="Times New Roman" w:cs="Times New Roman"/>
                <w:sz w:val="20"/>
                <w:szCs w:val="20"/>
              </w:rPr>
            </w:pPr>
            <w:r w:rsidRPr="00661675">
              <w:rPr>
                <w:rFonts w:ascii="Times New Roman" w:hAnsi="Times New Roman" w:cs="Times New Roman"/>
                <w:sz w:val="20"/>
                <w:szCs w:val="20"/>
              </w:rPr>
              <w:t xml:space="preserve"> </w:t>
            </w:r>
            <w:r w:rsidR="007C1648" w:rsidRPr="00661675">
              <w:rPr>
                <w:rFonts w:ascii="Times New Roman" w:hAnsi="Times New Roman" w:cs="Times New Roman"/>
                <w:sz w:val="20"/>
                <w:szCs w:val="20"/>
              </w:rPr>
              <w:t>0.00423***</w:t>
            </w:r>
          </w:p>
        </w:tc>
      </w:tr>
      <w:tr w:rsidR="007C1648" w:rsidRPr="006A46D7" w:rsidTr="007D37B6">
        <w:trPr>
          <w:jc w:val="center"/>
        </w:trPr>
        <w:tc>
          <w:tcPr>
            <w:tcW w:w="2127" w:type="dxa"/>
            <w:tcBorders>
              <w:top w:val="single" w:sz="4" w:space="0" w:color="auto"/>
              <w:left w:val="single" w:sz="4" w:space="0" w:color="auto"/>
              <w:bottom w:val="single" w:sz="4" w:space="0" w:color="auto"/>
              <w:right w:val="single" w:sz="4" w:space="0" w:color="auto"/>
            </w:tcBorders>
          </w:tcPr>
          <w:p w:rsidR="007C1648" w:rsidRPr="00661675" w:rsidRDefault="007C1648" w:rsidP="00D272C1">
            <w:pPr>
              <w:widowControl w:val="0"/>
              <w:autoSpaceDE w:val="0"/>
              <w:autoSpaceDN w:val="0"/>
              <w:adjustRightInd w:val="0"/>
              <w:spacing w:after="0" w:line="240"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7C1648" w:rsidRPr="00661675" w:rsidRDefault="007C1648" w:rsidP="00D272C1">
            <w:pPr>
              <w:widowControl w:val="0"/>
              <w:autoSpaceDE w:val="0"/>
              <w:autoSpaceDN w:val="0"/>
              <w:adjustRightInd w:val="0"/>
              <w:spacing w:after="0" w:line="240" w:lineRule="auto"/>
              <w:jc w:val="center"/>
              <w:rPr>
                <w:rFonts w:ascii="Times New Roman" w:hAnsi="Times New Roman" w:cs="Times New Roman"/>
                <w:sz w:val="20"/>
                <w:szCs w:val="20"/>
              </w:rPr>
            </w:pPr>
            <w:r w:rsidRPr="00661675">
              <w:rPr>
                <w:rFonts w:ascii="Times New Roman" w:hAnsi="Times New Roman" w:cs="Times New Roman"/>
                <w:sz w:val="20"/>
                <w:szCs w:val="20"/>
              </w:rPr>
              <w:t>(0.000856)</w:t>
            </w:r>
          </w:p>
        </w:tc>
      </w:tr>
      <w:tr w:rsidR="007C1648" w:rsidRPr="006A46D7" w:rsidTr="007D37B6">
        <w:trPr>
          <w:jc w:val="center"/>
        </w:trPr>
        <w:tc>
          <w:tcPr>
            <w:tcW w:w="2127" w:type="dxa"/>
            <w:tcBorders>
              <w:top w:val="single" w:sz="4" w:space="0" w:color="auto"/>
              <w:left w:val="single" w:sz="4" w:space="0" w:color="auto"/>
              <w:bottom w:val="single" w:sz="4" w:space="0" w:color="auto"/>
              <w:right w:val="single" w:sz="4" w:space="0" w:color="auto"/>
            </w:tcBorders>
          </w:tcPr>
          <w:p w:rsidR="007C1648" w:rsidRPr="00661675" w:rsidRDefault="007C1648" w:rsidP="00D272C1">
            <w:pPr>
              <w:widowControl w:val="0"/>
              <w:autoSpaceDE w:val="0"/>
              <w:autoSpaceDN w:val="0"/>
              <w:adjustRightInd w:val="0"/>
              <w:spacing w:after="0" w:line="240" w:lineRule="auto"/>
              <w:rPr>
                <w:rFonts w:ascii="Times New Roman" w:hAnsi="Times New Roman" w:cs="Times New Roman"/>
                <w:sz w:val="20"/>
                <w:szCs w:val="20"/>
              </w:rPr>
            </w:pPr>
            <w:proofErr w:type="spellStart"/>
            <w:r w:rsidRPr="00661675">
              <w:rPr>
                <w:rFonts w:ascii="Times New Roman" w:hAnsi="Times New Roman" w:cs="Times New Roman"/>
                <w:sz w:val="20"/>
                <w:szCs w:val="20"/>
              </w:rPr>
              <w:t>Log_ihh</w:t>
            </w:r>
            <w:proofErr w:type="spellEnd"/>
          </w:p>
        </w:tc>
        <w:tc>
          <w:tcPr>
            <w:tcW w:w="1984" w:type="dxa"/>
            <w:tcBorders>
              <w:top w:val="single" w:sz="4" w:space="0" w:color="auto"/>
              <w:left w:val="single" w:sz="4" w:space="0" w:color="auto"/>
              <w:bottom w:val="single" w:sz="4" w:space="0" w:color="auto"/>
              <w:right w:val="single" w:sz="4" w:space="0" w:color="auto"/>
            </w:tcBorders>
          </w:tcPr>
          <w:p w:rsidR="007C1648" w:rsidRPr="00661675" w:rsidRDefault="007C1648" w:rsidP="00D272C1">
            <w:pPr>
              <w:widowControl w:val="0"/>
              <w:autoSpaceDE w:val="0"/>
              <w:autoSpaceDN w:val="0"/>
              <w:adjustRightInd w:val="0"/>
              <w:spacing w:after="0" w:line="240" w:lineRule="auto"/>
              <w:jc w:val="center"/>
              <w:rPr>
                <w:rFonts w:ascii="Times New Roman" w:hAnsi="Times New Roman" w:cs="Times New Roman"/>
                <w:sz w:val="20"/>
                <w:szCs w:val="20"/>
              </w:rPr>
            </w:pPr>
            <w:r w:rsidRPr="00661675">
              <w:rPr>
                <w:rFonts w:ascii="Times New Roman" w:hAnsi="Times New Roman" w:cs="Times New Roman"/>
                <w:sz w:val="20"/>
                <w:szCs w:val="20"/>
              </w:rPr>
              <w:t>8.814***</w:t>
            </w:r>
          </w:p>
        </w:tc>
      </w:tr>
      <w:tr w:rsidR="007C1648" w:rsidRPr="006A46D7" w:rsidTr="007D37B6">
        <w:trPr>
          <w:jc w:val="center"/>
        </w:trPr>
        <w:tc>
          <w:tcPr>
            <w:tcW w:w="2127" w:type="dxa"/>
            <w:tcBorders>
              <w:top w:val="single" w:sz="4" w:space="0" w:color="auto"/>
              <w:left w:val="single" w:sz="4" w:space="0" w:color="auto"/>
              <w:bottom w:val="single" w:sz="4" w:space="0" w:color="auto"/>
              <w:right w:val="single" w:sz="4" w:space="0" w:color="auto"/>
            </w:tcBorders>
          </w:tcPr>
          <w:p w:rsidR="007C1648" w:rsidRPr="00661675" w:rsidRDefault="007C1648" w:rsidP="00D272C1">
            <w:pPr>
              <w:widowControl w:val="0"/>
              <w:autoSpaceDE w:val="0"/>
              <w:autoSpaceDN w:val="0"/>
              <w:adjustRightInd w:val="0"/>
              <w:spacing w:after="0" w:line="240"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7C1648" w:rsidRPr="00661675" w:rsidRDefault="007C1648" w:rsidP="00D272C1">
            <w:pPr>
              <w:widowControl w:val="0"/>
              <w:autoSpaceDE w:val="0"/>
              <w:autoSpaceDN w:val="0"/>
              <w:adjustRightInd w:val="0"/>
              <w:spacing w:after="0" w:line="240" w:lineRule="auto"/>
              <w:jc w:val="center"/>
              <w:rPr>
                <w:rFonts w:ascii="Times New Roman" w:hAnsi="Times New Roman" w:cs="Times New Roman"/>
                <w:sz w:val="20"/>
                <w:szCs w:val="20"/>
              </w:rPr>
            </w:pPr>
            <w:r w:rsidRPr="00661675">
              <w:rPr>
                <w:rFonts w:ascii="Times New Roman" w:hAnsi="Times New Roman" w:cs="Times New Roman"/>
                <w:sz w:val="20"/>
                <w:szCs w:val="20"/>
              </w:rPr>
              <w:t>(0.528)</w:t>
            </w:r>
          </w:p>
        </w:tc>
      </w:tr>
      <w:tr w:rsidR="007C1648" w:rsidRPr="006A46D7" w:rsidTr="007D37B6">
        <w:trPr>
          <w:jc w:val="center"/>
        </w:trPr>
        <w:tc>
          <w:tcPr>
            <w:tcW w:w="2127" w:type="dxa"/>
            <w:tcBorders>
              <w:top w:val="single" w:sz="4" w:space="0" w:color="auto"/>
              <w:left w:val="single" w:sz="4" w:space="0" w:color="auto"/>
              <w:bottom w:val="single" w:sz="4" w:space="0" w:color="auto"/>
              <w:right w:val="single" w:sz="4" w:space="0" w:color="auto"/>
            </w:tcBorders>
          </w:tcPr>
          <w:p w:rsidR="007C1648" w:rsidRPr="00661675" w:rsidRDefault="007C1648" w:rsidP="00D272C1">
            <w:pPr>
              <w:widowControl w:val="0"/>
              <w:autoSpaceDE w:val="0"/>
              <w:autoSpaceDN w:val="0"/>
              <w:adjustRightInd w:val="0"/>
              <w:spacing w:after="0" w:line="240" w:lineRule="auto"/>
              <w:rPr>
                <w:rFonts w:ascii="Times New Roman" w:hAnsi="Times New Roman" w:cs="Times New Roman"/>
                <w:sz w:val="20"/>
                <w:szCs w:val="20"/>
              </w:rPr>
            </w:pPr>
            <w:r w:rsidRPr="00661675">
              <w:rPr>
                <w:rFonts w:ascii="Times New Roman" w:hAnsi="Times New Roman" w:cs="Times New Roman"/>
                <w:sz w:val="20"/>
                <w:szCs w:val="20"/>
              </w:rPr>
              <w:t>Constante</w:t>
            </w:r>
          </w:p>
        </w:tc>
        <w:tc>
          <w:tcPr>
            <w:tcW w:w="1984" w:type="dxa"/>
            <w:tcBorders>
              <w:top w:val="single" w:sz="4" w:space="0" w:color="auto"/>
              <w:left w:val="single" w:sz="4" w:space="0" w:color="auto"/>
              <w:bottom w:val="single" w:sz="4" w:space="0" w:color="auto"/>
              <w:right w:val="single" w:sz="4" w:space="0" w:color="auto"/>
            </w:tcBorders>
          </w:tcPr>
          <w:p w:rsidR="007C1648" w:rsidRPr="00661675" w:rsidRDefault="007C1648" w:rsidP="00D272C1">
            <w:pPr>
              <w:widowControl w:val="0"/>
              <w:autoSpaceDE w:val="0"/>
              <w:autoSpaceDN w:val="0"/>
              <w:adjustRightInd w:val="0"/>
              <w:spacing w:after="0" w:line="240" w:lineRule="auto"/>
              <w:jc w:val="center"/>
              <w:rPr>
                <w:rFonts w:ascii="Times New Roman" w:hAnsi="Times New Roman" w:cs="Times New Roman"/>
                <w:sz w:val="20"/>
                <w:szCs w:val="20"/>
              </w:rPr>
            </w:pPr>
            <w:r w:rsidRPr="00661675">
              <w:rPr>
                <w:rFonts w:ascii="Times New Roman" w:hAnsi="Times New Roman" w:cs="Times New Roman"/>
                <w:sz w:val="20"/>
                <w:szCs w:val="20"/>
              </w:rPr>
              <w:t>-78.69***</w:t>
            </w:r>
          </w:p>
        </w:tc>
      </w:tr>
      <w:tr w:rsidR="007C1648" w:rsidRPr="006A46D7" w:rsidTr="007D37B6">
        <w:trPr>
          <w:jc w:val="center"/>
        </w:trPr>
        <w:tc>
          <w:tcPr>
            <w:tcW w:w="2127" w:type="dxa"/>
            <w:tcBorders>
              <w:top w:val="single" w:sz="4" w:space="0" w:color="auto"/>
              <w:left w:val="single" w:sz="4" w:space="0" w:color="auto"/>
              <w:bottom w:val="single" w:sz="4" w:space="0" w:color="auto"/>
              <w:right w:val="single" w:sz="4" w:space="0" w:color="auto"/>
            </w:tcBorders>
          </w:tcPr>
          <w:p w:rsidR="007C1648" w:rsidRPr="00661675" w:rsidRDefault="007C1648" w:rsidP="00D272C1">
            <w:pPr>
              <w:widowControl w:val="0"/>
              <w:autoSpaceDE w:val="0"/>
              <w:autoSpaceDN w:val="0"/>
              <w:adjustRightInd w:val="0"/>
              <w:spacing w:after="0" w:line="240"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7C1648" w:rsidRPr="00661675" w:rsidRDefault="007C1648" w:rsidP="00D272C1">
            <w:pPr>
              <w:widowControl w:val="0"/>
              <w:autoSpaceDE w:val="0"/>
              <w:autoSpaceDN w:val="0"/>
              <w:adjustRightInd w:val="0"/>
              <w:spacing w:after="0" w:line="240" w:lineRule="auto"/>
              <w:jc w:val="center"/>
              <w:rPr>
                <w:rFonts w:ascii="Times New Roman" w:hAnsi="Times New Roman" w:cs="Times New Roman"/>
                <w:sz w:val="20"/>
                <w:szCs w:val="20"/>
              </w:rPr>
            </w:pPr>
            <w:r w:rsidRPr="00661675">
              <w:rPr>
                <w:rFonts w:ascii="Times New Roman" w:hAnsi="Times New Roman" w:cs="Times New Roman"/>
                <w:sz w:val="20"/>
                <w:szCs w:val="20"/>
              </w:rPr>
              <w:t>(4.568)</w:t>
            </w:r>
          </w:p>
        </w:tc>
      </w:tr>
      <w:tr w:rsidR="007C1648" w:rsidRPr="006A46D7" w:rsidTr="007D37B6">
        <w:trPr>
          <w:jc w:val="center"/>
        </w:trPr>
        <w:tc>
          <w:tcPr>
            <w:tcW w:w="2127" w:type="dxa"/>
            <w:tcBorders>
              <w:top w:val="single" w:sz="4" w:space="0" w:color="auto"/>
              <w:left w:val="single" w:sz="4" w:space="0" w:color="auto"/>
              <w:bottom w:val="single" w:sz="4" w:space="0" w:color="auto"/>
              <w:right w:val="single" w:sz="4" w:space="0" w:color="auto"/>
            </w:tcBorders>
          </w:tcPr>
          <w:p w:rsidR="007C1648" w:rsidRPr="00661675" w:rsidRDefault="007C1648" w:rsidP="00D272C1">
            <w:pPr>
              <w:widowControl w:val="0"/>
              <w:autoSpaceDE w:val="0"/>
              <w:autoSpaceDN w:val="0"/>
              <w:adjustRightInd w:val="0"/>
              <w:spacing w:after="0" w:line="240"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7C1648" w:rsidRPr="00661675" w:rsidRDefault="007C1648" w:rsidP="00D272C1">
            <w:pPr>
              <w:widowControl w:val="0"/>
              <w:autoSpaceDE w:val="0"/>
              <w:autoSpaceDN w:val="0"/>
              <w:adjustRightInd w:val="0"/>
              <w:spacing w:after="0" w:line="240" w:lineRule="auto"/>
              <w:jc w:val="center"/>
              <w:rPr>
                <w:rFonts w:ascii="Times New Roman" w:hAnsi="Times New Roman" w:cs="Times New Roman"/>
                <w:sz w:val="20"/>
                <w:szCs w:val="20"/>
              </w:rPr>
            </w:pPr>
          </w:p>
        </w:tc>
      </w:tr>
      <w:tr w:rsidR="007C1648" w:rsidRPr="006A46D7" w:rsidTr="007D37B6">
        <w:trPr>
          <w:jc w:val="center"/>
        </w:trPr>
        <w:tc>
          <w:tcPr>
            <w:tcW w:w="2127" w:type="dxa"/>
            <w:tcBorders>
              <w:top w:val="single" w:sz="4" w:space="0" w:color="auto"/>
              <w:left w:val="single" w:sz="4" w:space="0" w:color="auto"/>
              <w:bottom w:val="single" w:sz="4" w:space="0" w:color="auto"/>
              <w:right w:val="single" w:sz="4" w:space="0" w:color="auto"/>
            </w:tcBorders>
          </w:tcPr>
          <w:p w:rsidR="007C1648" w:rsidRPr="00661675" w:rsidRDefault="007C1648" w:rsidP="00D272C1">
            <w:pPr>
              <w:widowControl w:val="0"/>
              <w:autoSpaceDE w:val="0"/>
              <w:autoSpaceDN w:val="0"/>
              <w:adjustRightInd w:val="0"/>
              <w:spacing w:after="0" w:line="240" w:lineRule="auto"/>
              <w:rPr>
                <w:rFonts w:ascii="Times New Roman" w:hAnsi="Times New Roman" w:cs="Times New Roman"/>
                <w:sz w:val="20"/>
                <w:szCs w:val="20"/>
              </w:rPr>
            </w:pPr>
            <w:r w:rsidRPr="00661675">
              <w:rPr>
                <w:rFonts w:ascii="Times New Roman" w:hAnsi="Times New Roman" w:cs="Times New Roman"/>
                <w:sz w:val="20"/>
                <w:szCs w:val="20"/>
              </w:rPr>
              <w:t>Observaciones</w:t>
            </w:r>
          </w:p>
        </w:tc>
        <w:tc>
          <w:tcPr>
            <w:tcW w:w="1984" w:type="dxa"/>
            <w:tcBorders>
              <w:top w:val="single" w:sz="4" w:space="0" w:color="auto"/>
              <w:left w:val="single" w:sz="4" w:space="0" w:color="auto"/>
              <w:bottom w:val="single" w:sz="4" w:space="0" w:color="auto"/>
              <w:right w:val="single" w:sz="4" w:space="0" w:color="auto"/>
            </w:tcBorders>
          </w:tcPr>
          <w:p w:rsidR="007C1648" w:rsidRPr="00661675" w:rsidRDefault="007C1648" w:rsidP="00D272C1">
            <w:pPr>
              <w:widowControl w:val="0"/>
              <w:autoSpaceDE w:val="0"/>
              <w:autoSpaceDN w:val="0"/>
              <w:adjustRightInd w:val="0"/>
              <w:spacing w:after="0" w:line="240" w:lineRule="auto"/>
              <w:jc w:val="center"/>
              <w:rPr>
                <w:rFonts w:ascii="Times New Roman" w:hAnsi="Times New Roman" w:cs="Times New Roman"/>
                <w:sz w:val="20"/>
                <w:szCs w:val="20"/>
              </w:rPr>
            </w:pPr>
            <w:r w:rsidRPr="00661675">
              <w:rPr>
                <w:rFonts w:ascii="Times New Roman" w:hAnsi="Times New Roman" w:cs="Times New Roman"/>
                <w:sz w:val="20"/>
                <w:szCs w:val="20"/>
              </w:rPr>
              <w:t>41</w:t>
            </w:r>
          </w:p>
        </w:tc>
      </w:tr>
      <w:tr w:rsidR="007C1648" w:rsidRPr="006A46D7" w:rsidTr="007D37B6">
        <w:tblPrEx>
          <w:tblBorders>
            <w:bottom w:val="single" w:sz="6" w:space="0" w:color="auto"/>
          </w:tblBorders>
        </w:tblPrEx>
        <w:trPr>
          <w:jc w:val="center"/>
        </w:trPr>
        <w:tc>
          <w:tcPr>
            <w:tcW w:w="2127" w:type="dxa"/>
            <w:tcBorders>
              <w:top w:val="single" w:sz="4" w:space="0" w:color="auto"/>
              <w:left w:val="single" w:sz="4" w:space="0" w:color="auto"/>
              <w:bottom w:val="single" w:sz="4" w:space="0" w:color="auto"/>
              <w:right w:val="single" w:sz="4" w:space="0" w:color="auto"/>
            </w:tcBorders>
          </w:tcPr>
          <w:p w:rsidR="007C1648" w:rsidRPr="00661675" w:rsidRDefault="007C1648" w:rsidP="00D272C1">
            <w:pPr>
              <w:widowControl w:val="0"/>
              <w:autoSpaceDE w:val="0"/>
              <w:autoSpaceDN w:val="0"/>
              <w:adjustRightInd w:val="0"/>
              <w:spacing w:after="0" w:line="240" w:lineRule="auto"/>
              <w:rPr>
                <w:rFonts w:ascii="Times New Roman" w:hAnsi="Times New Roman" w:cs="Times New Roman"/>
                <w:sz w:val="20"/>
                <w:szCs w:val="20"/>
              </w:rPr>
            </w:pPr>
            <w:r w:rsidRPr="00661675">
              <w:rPr>
                <w:rFonts w:ascii="Times New Roman" w:hAnsi="Times New Roman" w:cs="Times New Roman"/>
                <w:sz w:val="20"/>
                <w:szCs w:val="20"/>
              </w:rPr>
              <w:t>R-cuadrada</w:t>
            </w:r>
          </w:p>
          <w:p w:rsidR="007C1648" w:rsidRPr="00661675" w:rsidRDefault="007C1648" w:rsidP="00D272C1">
            <w:pPr>
              <w:widowControl w:val="0"/>
              <w:autoSpaceDE w:val="0"/>
              <w:autoSpaceDN w:val="0"/>
              <w:adjustRightInd w:val="0"/>
              <w:spacing w:after="0" w:line="240" w:lineRule="auto"/>
              <w:rPr>
                <w:rFonts w:ascii="Times New Roman" w:hAnsi="Times New Roman" w:cs="Times New Roman"/>
                <w:sz w:val="20"/>
                <w:szCs w:val="20"/>
              </w:rPr>
            </w:pPr>
            <w:r w:rsidRPr="00661675">
              <w:rPr>
                <w:rFonts w:ascii="Times New Roman" w:hAnsi="Times New Roman" w:cs="Times New Roman"/>
                <w:sz w:val="20"/>
                <w:szCs w:val="20"/>
              </w:rPr>
              <w:t>R-cuadrada ajustada</w:t>
            </w:r>
          </w:p>
        </w:tc>
        <w:tc>
          <w:tcPr>
            <w:tcW w:w="1984" w:type="dxa"/>
            <w:tcBorders>
              <w:top w:val="single" w:sz="4" w:space="0" w:color="auto"/>
              <w:left w:val="single" w:sz="4" w:space="0" w:color="auto"/>
              <w:bottom w:val="single" w:sz="4" w:space="0" w:color="auto"/>
              <w:right w:val="single" w:sz="4" w:space="0" w:color="auto"/>
            </w:tcBorders>
          </w:tcPr>
          <w:p w:rsidR="007C1648" w:rsidRPr="00661675" w:rsidRDefault="007C1648" w:rsidP="00D272C1">
            <w:pPr>
              <w:widowControl w:val="0"/>
              <w:autoSpaceDE w:val="0"/>
              <w:autoSpaceDN w:val="0"/>
              <w:adjustRightInd w:val="0"/>
              <w:spacing w:after="0" w:line="240" w:lineRule="auto"/>
              <w:jc w:val="center"/>
              <w:rPr>
                <w:rFonts w:ascii="Times New Roman" w:hAnsi="Times New Roman" w:cs="Times New Roman"/>
                <w:sz w:val="20"/>
                <w:szCs w:val="20"/>
              </w:rPr>
            </w:pPr>
            <w:r w:rsidRPr="00661675">
              <w:rPr>
                <w:rFonts w:ascii="Times New Roman" w:hAnsi="Times New Roman" w:cs="Times New Roman"/>
                <w:sz w:val="20"/>
                <w:szCs w:val="20"/>
              </w:rPr>
              <w:t>0.918</w:t>
            </w:r>
          </w:p>
          <w:p w:rsidR="007C1648" w:rsidRPr="00661675" w:rsidRDefault="0004075D" w:rsidP="00D272C1">
            <w:pPr>
              <w:widowControl w:val="0"/>
              <w:autoSpaceDE w:val="0"/>
              <w:autoSpaceDN w:val="0"/>
              <w:adjustRightInd w:val="0"/>
              <w:spacing w:after="0" w:line="240" w:lineRule="auto"/>
              <w:jc w:val="center"/>
              <w:rPr>
                <w:rFonts w:ascii="Times New Roman" w:hAnsi="Times New Roman" w:cs="Times New Roman"/>
                <w:sz w:val="20"/>
                <w:szCs w:val="20"/>
              </w:rPr>
            </w:pPr>
            <w:r w:rsidRPr="00661675">
              <w:rPr>
                <w:rFonts w:ascii="Times New Roman" w:hAnsi="Times New Roman" w:cs="Times New Roman"/>
                <w:sz w:val="20"/>
                <w:szCs w:val="20"/>
              </w:rPr>
              <w:t xml:space="preserve">  </w:t>
            </w:r>
            <w:r w:rsidR="007C1648" w:rsidRPr="00661675">
              <w:rPr>
                <w:rFonts w:ascii="Times New Roman" w:hAnsi="Times New Roman" w:cs="Times New Roman"/>
                <w:sz w:val="20"/>
                <w:szCs w:val="20"/>
              </w:rPr>
              <w:t>0.9114</w:t>
            </w:r>
          </w:p>
        </w:tc>
      </w:tr>
    </w:tbl>
    <w:p w:rsidR="007C1648" w:rsidRPr="00661675" w:rsidRDefault="007C1648" w:rsidP="007C1648">
      <w:pPr>
        <w:widowControl w:val="0"/>
        <w:autoSpaceDE w:val="0"/>
        <w:autoSpaceDN w:val="0"/>
        <w:adjustRightInd w:val="0"/>
        <w:spacing w:after="0" w:line="240" w:lineRule="auto"/>
        <w:jc w:val="center"/>
        <w:rPr>
          <w:rFonts w:ascii="Times New Roman" w:hAnsi="Times New Roman" w:cs="Times New Roman"/>
          <w:sz w:val="20"/>
          <w:szCs w:val="20"/>
        </w:rPr>
      </w:pPr>
      <w:r w:rsidRPr="00661675">
        <w:rPr>
          <w:rFonts w:ascii="Times New Roman" w:hAnsi="Times New Roman" w:cs="Times New Roman"/>
          <w:sz w:val="20"/>
          <w:szCs w:val="20"/>
        </w:rPr>
        <w:t xml:space="preserve">Errores estándar </w:t>
      </w:r>
      <w:r w:rsidR="0004075D" w:rsidRPr="00661675">
        <w:rPr>
          <w:rFonts w:ascii="Times New Roman" w:hAnsi="Times New Roman" w:cs="Times New Roman"/>
          <w:sz w:val="20"/>
          <w:szCs w:val="20"/>
        </w:rPr>
        <w:t xml:space="preserve">Robustos </w:t>
      </w:r>
      <w:r w:rsidR="00125C87">
        <w:rPr>
          <w:rFonts w:ascii="Times New Roman" w:hAnsi="Times New Roman" w:cs="Times New Roman"/>
          <w:sz w:val="20"/>
          <w:szCs w:val="20"/>
        </w:rPr>
        <w:t>en p</w:t>
      </w:r>
      <w:r w:rsidRPr="00661675">
        <w:rPr>
          <w:rFonts w:ascii="Times New Roman" w:hAnsi="Times New Roman" w:cs="Times New Roman"/>
          <w:sz w:val="20"/>
          <w:szCs w:val="20"/>
        </w:rPr>
        <w:t>aréntesis</w:t>
      </w:r>
    </w:p>
    <w:p w:rsidR="007C1648" w:rsidRDefault="007C1648" w:rsidP="007C1648">
      <w:pPr>
        <w:widowControl w:val="0"/>
        <w:autoSpaceDE w:val="0"/>
        <w:autoSpaceDN w:val="0"/>
        <w:adjustRightInd w:val="0"/>
        <w:spacing w:after="0" w:line="240" w:lineRule="auto"/>
        <w:jc w:val="center"/>
        <w:rPr>
          <w:rFonts w:ascii="Times New Roman" w:hAnsi="Times New Roman" w:cs="Times New Roman"/>
          <w:sz w:val="20"/>
          <w:szCs w:val="20"/>
        </w:rPr>
      </w:pPr>
      <w:r w:rsidRPr="00661675">
        <w:rPr>
          <w:rFonts w:ascii="Times New Roman" w:hAnsi="Times New Roman" w:cs="Times New Roman"/>
          <w:sz w:val="20"/>
          <w:szCs w:val="20"/>
        </w:rPr>
        <w:t>*** p&lt;0.01, ** p&lt;0.05, * p&lt;0.1</w:t>
      </w:r>
    </w:p>
    <w:p w:rsidR="007D37B6" w:rsidRPr="00661675" w:rsidRDefault="007D37B6" w:rsidP="007C1648">
      <w:pPr>
        <w:widowControl w:val="0"/>
        <w:autoSpaceDE w:val="0"/>
        <w:autoSpaceDN w:val="0"/>
        <w:adjustRightInd w:val="0"/>
        <w:spacing w:after="0" w:line="240" w:lineRule="auto"/>
        <w:jc w:val="center"/>
        <w:rPr>
          <w:rFonts w:ascii="Times New Roman" w:hAnsi="Times New Roman" w:cs="Times New Roman"/>
          <w:sz w:val="20"/>
          <w:szCs w:val="20"/>
        </w:rPr>
      </w:pPr>
    </w:p>
    <w:p w:rsidR="00FB70D6" w:rsidRPr="00661675" w:rsidRDefault="00C83A98" w:rsidP="00B71AE9">
      <w:pPr>
        <w:widowControl w:val="0"/>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Se aprecia que</w:t>
      </w:r>
      <w:r w:rsidR="00FB70D6" w:rsidRPr="00661675">
        <w:rPr>
          <w:rFonts w:ascii="Times New Roman" w:hAnsi="Times New Roman" w:cs="Times New Roman"/>
          <w:sz w:val="20"/>
          <w:szCs w:val="20"/>
        </w:rPr>
        <w:t xml:space="preserve"> l</w:t>
      </w:r>
      <w:r w:rsidR="00CB1AC7" w:rsidRPr="00661675">
        <w:rPr>
          <w:rFonts w:ascii="Times New Roman" w:hAnsi="Times New Roman" w:cs="Times New Roman"/>
          <w:sz w:val="20"/>
          <w:szCs w:val="20"/>
        </w:rPr>
        <w:t xml:space="preserve">a TTM </w:t>
      </w:r>
      <w:r w:rsidR="00F35495">
        <w:rPr>
          <w:rFonts w:ascii="Times New Roman" w:hAnsi="Times New Roman" w:cs="Times New Roman"/>
          <w:sz w:val="20"/>
          <w:szCs w:val="20"/>
        </w:rPr>
        <w:t>promedio se mueve en un mismo sentido que</w:t>
      </w:r>
      <w:r w:rsidR="00094390" w:rsidRPr="00661675">
        <w:rPr>
          <w:rFonts w:ascii="Times New Roman" w:hAnsi="Times New Roman" w:cs="Times New Roman"/>
          <w:sz w:val="20"/>
          <w:szCs w:val="20"/>
        </w:rPr>
        <w:t xml:space="preserve"> el </w:t>
      </w:r>
      <w:proofErr w:type="spellStart"/>
      <w:r w:rsidR="00094390" w:rsidRPr="00661675">
        <w:rPr>
          <w:rFonts w:ascii="Times New Roman" w:hAnsi="Times New Roman" w:cs="Times New Roman"/>
          <w:sz w:val="20"/>
          <w:szCs w:val="20"/>
        </w:rPr>
        <w:t>IpM</w:t>
      </w:r>
      <w:proofErr w:type="spellEnd"/>
      <w:r w:rsidR="00094390" w:rsidRPr="00661675">
        <w:rPr>
          <w:rFonts w:ascii="Times New Roman" w:hAnsi="Times New Roman" w:cs="Times New Roman"/>
          <w:sz w:val="20"/>
          <w:szCs w:val="20"/>
        </w:rPr>
        <w:t xml:space="preserve"> (relación positiva). Específicamente, </w:t>
      </w:r>
      <w:r w:rsidR="00CB1AC7" w:rsidRPr="00661675">
        <w:rPr>
          <w:rFonts w:ascii="Times New Roman" w:hAnsi="Times New Roman" w:cs="Times New Roman"/>
          <w:sz w:val="20"/>
          <w:szCs w:val="20"/>
        </w:rPr>
        <w:t>cuando la TTM</w:t>
      </w:r>
      <w:r w:rsidR="00137AA9" w:rsidRPr="00661675">
        <w:rPr>
          <w:rFonts w:ascii="Times New Roman" w:hAnsi="Times New Roman" w:cs="Times New Roman"/>
          <w:sz w:val="20"/>
          <w:szCs w:val="20"/>
        </w:rPr>
        <w:t xml:space="preserve"> promedio</w:t>
      </w:r>
      <w:r w:rsidR="00CB1AC7" w:rsidRPr="00661675">
        <w:rPr>
          <w:rFonts w:ascii="Times New Roman" w:hAnsi="Times New Roman" w:cs="Times New Roman"/>
          <w:sz w:val="20"/>
          <w:szCs w:val="20"/>
        </w:rPr>
        <w:t xml:space="preserve"> </w:t>
      </w:r>
      <w:r w:rsidR="00094390" w:rsidRPr="00661675">
        <w:rPr>
          <w:rFonts w:ascii="Times New Roman" w:hAnsi="Times New Roman" w:cs="Times New Roman"/>
          <w:sz w:val="20"/>
          <w:szCs w:val="20"/>
        </w:rPr>
        <w:t>se re</w:t>
      </w:r>
      <w:r w:rsidR="00A373AB" w:rsidRPr="00661675">
        <w:rPr>
          <w:rFonts w:ascii="Times New Roman" w:hAnsi="Times New Roman" w:cs="Times New Roman"/>
          <w:sz w:val="20"/>
          <w:szCs w:val="20"/>
        </w:rPr>
        <w:t>d</w:t>
      </w:r>
      <w:r w:rsidR="007F2503" w:rsidRPr="00661675">
        <w:rPr>
          <w:rFonts w:ascii="Times New Roman" w:hAnsi="Times New Roman" w:cs="Times New Roman"/>
          <w:sz w:val="20"/>
          <w:szCs w:val="20"/>
        </w:rPr>
        <w:t>uce</w:t>
      </w:r>
      <w:r w:rsidR="000219B3" w:rsidRPr="00661675">
        <w:rPr>
          <w:rFonts w:ascii="Times New Roman" w:hAnsi="Times New Roman" w:cs="Times New Roman"/>
          <w:sz w:val="20"/>
          <w:szCs w:val="20"/>
        </w:rPr>
        <w:t xml:space="preserve"> en 1%</w:t>
      </w:r>
      <w:r w:rsidR="007F2503" w:rsidRPr="00661675">
        <w:rPr>
          <w:rFonts w:ascii="Times New Roman" w:hAnsi="Times New Roman" w:cs="Times New Roman"/>
          <w:sz w:val="20"/>
          <w:szCs w:val="20"/>
        </w:rPr>
        <w:t xml:space="preserve">, </w:t>
      </w:r>
      <w:r w:rsidR="00137AA9" w:rsidRPr="00661675">
        <w:rPr>
          <w:rFonts w:ascii="Times New Roman" w:hAnsi="Times New Roman" w:cs="Times New Roman"/>
          <w:sz w:val="20"/>
          <w:szCs w:val="20"/>
        </w:rPr>
        <w:t xml:space="preserve">el </w:t>
      </w:r>
      <w:proofErr w:type="spellStart"/>
      <w:r w:rsidR="00137AA9" w:rsidRPr="00661675">
        <w:rPr>
          <w:rFonts w:ascii="Times New Roman" w:hAnsi="Times New Roman" w:cs="Times New Roman"/>
          <w:sz w:val="20"/>
          <w:szCs w:val="20"/>
        </w:rPr>
        <w:t>IpM</w:t>
      </w:r>
      <w:proofErr w:type="spellEnd"/>
      <w:r w:rsidR="00137AA9" w:rsidRPr="00661675">
        <w:rPr>
          <w:rFonts w:ascii="Times New Roman" w:hAnsi="Times New Roman" w:cs="Times New Roman"/>
          <w:sz w:val="20"/>
          <w:szCs w:val="20"/>
        </w:rPr>
        <w:t>, baja en 0.</w:t>
      </w:r>
      <w:r w:rsidR="000219B3" w:rsidRPr="00661675">
        <w:rPr>
          <w:rFonts w:ascii="Times New Roman" w:hAnsi="Times New Roman" w:cs="Times New Roman"/>
          <w:sz w:val="20"/>
          <w:szCs w:val="20"/>
        </w:rPr>
        <w:t>0</w:t>
      </w:r>
      <w:r w:rsidR="00137AA9" w:rsidRPr="00661675">
        <w:rPr>
          <w:rFonts w:ascii="Times New Roman" w:hAnsi="Times New Roman" w:cs="Times New Roman"/>
          <w:sz w:val="20"/>
          <w:szCs w:val="20"/>
        </w:rPr>
        <w:t>6</w:t>
      </w:r>
      <w:r w:rsidR="00FB70D6" w:rsidRPr="00661675">
        <w:rPr>
          <w:rFonts w:ascii="Times New Roman" w:hAnsi="Times New Roman" w:cs="Times New Roman"/>
          <w:sz w:val="20"/>
          <w:szCs w:val="20"/>
        </w:rPr>
        <w:t>16</w:t>
      </w:r>
      <w:r w:rsidR="00094390" w:rsidRPr="00661675">
        <w:rPr>
          <w:rFonts w:ascii="Times New Roman" w:hAnsi="Times New Roman" w:cs="Times New Roman"/>
          <w:sz w:val="20"/>
          <w:szCs w:val="20"/>
        </w:rPr>
        <w:t xml:space="preserve">%. </w:t>
      </w:r>
      <w:r w:rsidR="00FB70D6" w:rsidRPr="00661675">
        <w:rPr>
          <w:rFonts w:ascii="Times New Roman" w:hAnsi="Times New Roman" w:cs="Times New Roman"/>
          <w:sz w:val="20"/>
          <w:szCs w:val="20"/>
        </w:rPr>
        <w:t>E</w:t>
      </w:r>
      <w:r w:rsidR="00F35495">
        <w:rPr>
          <w:rFonts w:ascii="Times New Roman" w:hAnsi="Times New Roman" w:cs="Times New Roman"/>
          <w:sz w:val="20"/>
          <w:szCs w:val="20"/>
        </w:rPr>
        <w:t xml:space="preserve">sta cifra es 2.5 a 4 veces menor que las equivalentes estimadas por </w:t>
      </w:r>
      <w:proofErr w:type="spellStart"/>
      <w:r w:rsidR="00F35495">
        <w:rPr>
          <w:rFonts w:ascii="Times New Roman" w:hAnsi="Times New Roman" w:cs="Times New Roman"/>
          <w:sz w:val="20"/>
          <w:szCs w:val="20"/>
        </w:rPr>
        <w:t>Baranes</w:t>
      </w:r>
      <w:proofErr w:type="spellEnd"/>
      <w:r w:rsidR="00F35495">
        <w:rPr>
          <w:rFonts w:ascii="Times New Roman" w:hAnsi="Times New Roman" w:cs="Times New Roman"/>
          <w:sz w:val="20"/>
          <w:szCs w:val="20"/>
        </w:rPr>
        <w:t xml:space="preserve"> et al </w:t>
      </w:r>
      <w:r w:rsidR="00635A0D">
        <w:rPr>
          <w:rFonts w:ascii="Times New Roman" w:hAnsi="Times New Roman" w:cs="Times New Roman"/>
          <w:sz w:val="20"/>
          <w:szCs w:val="20"/>
        </w:rPr>
        <w:t xml:space="preserve">(2011 b) </w:t>
      </w:r>
      <w:r w:rsidR="00F35495">
        <w:rPr>
          <w:rFonts w:ascii="Times New Roman" w:hAnsi="Times New Roman" w:cs="Times New Roman"/>
          <w:sz w:val="20"/>
          <w:szCs w:val="20"/>
        </w:rPr>
        <w:t>para los países de la Unión Europea. E</w:t>
      </w:r>
      <w:r w:rsidR="00FB70D6" w:rsidRPr="00661675">
        <w:rPr>
          <w:rFonts w:ascii="Times New Roman" w:hAnsi="Times New Roman" w:cs="Times New Roman"/>
          <w:sz w:val="20"/>
          <w:szCs w:val="20"/>
        </w:rPr>
        <w:t>ste coeficien</w:t>
      </w:r>
      <w:r w:rsidR="000219B3" w:rsidRPr="00661675">
        <w:rPr>
          <w:rFonts w:ascii="Times New Roman" w:hAnsi="Times New Roman" w:cs="Times New Roman"/>
          <w:sz w:val="20"/>
          <w:szCs w:val="20"/>
        </w:rPr>
        <w:t>te muestra la elasticidad del</w:t>
      </w:r>
      <w:r w:rsidR="00FB70D6" w:rsidRPr="00661675">
        <w:rPr>
          <w:rFonts w:ascii="Times New Roman" w:hAnsi="Times New Roman" w:cs="Times New Roman"/>
          <w:sz w:val="20"/>
          <w:szCs w:val="20"/>
        </w:rPr>
        <w:t xml:space="preserve"> </w:t>
      </w:r>
      <w:proofErr w:type="spellStart"/>
      <w:r w:rsidR="00FB70D6" w:rsidRPr="00661675">
        <w:rPr>
          <w:rFonts w:ascii="Times New Roman" w:hAnsi="Times New Roman" w:cs="Times New Roman"/>
          <w:sz w:val="20"/>
          <w:szCs w:val="20"/>
        </w:rPr>
        <w:t>IpM</w:t>
      </w:r>
      <w:proofErr w:type="spellEnd"/>
      <w:r w:rsidR="00FB70D6" w:rsidRPr="00661675">
        <w:rPr>
          <w:rFonts w:ascii="Times New Roman" w:hAnsi="Times New Roman" w:cs="Times New Roman"/>
          <w:sz w:val="20"/>
          <w:szCs w:val="20"/>
        </w:rPr>
        <w:t xml:space="preserve"> respecto del costo de terminación de las comunicaciones, ya que la ecuación se expresó en logaritmos.</w:t>
      </w:r>
      <w:r w:rsidR="00FB70D6" w:rsidRPr="00661675">
        <w:rPr>
          <w:rStyle w:val="Refdenotaalpie"/>
          <w:rFonts w:ascii="Times New Roman" w:hAnsi="Times New Roman" w:cs="Times New Roman"/>
          <w:sz w:val="20"/>
          <w:szCs w:val="20"/>
        </w:rPr>
        <w:t xml:space="preserve"> </w:t>
      </w:r>
      <w:r w:rsidR="00FB70D6" w:rsidRPr="00661675">
        <w:rPr>
          <w:rStyle w:val="Refdenotaalpie"/>
          <w:rFonts w:ascii="Times New Roman" w:hAnsi="Times New Roman" w:cs="Times New Roman"/>
          <w:sz w:val="20"/>
          <w:szCs w:val="20"/>
        </w:rPr>
        <w:footnoteReference w:id="17"/>
      </w:r>
    </w:p>
    <w:p w:rsidR="00137AA9" w:rsidRPr="00661675" w:rsidRDefault="00137AA9" w:rsidP="00B71AE9">
      <w:pPr>
        <w:widowControl w:val="0"/>
        <w:autoSpaceDE w:val="0"/>
        <w:autoSpaceDN w:val="0"/>
        <w:adjustRightInd w:val="0"/>
        <w:spacing w:after="120" w:line="240" w:lineRule="auto"/>
        <w:jc w:val="both"/>
        <w:rPr>
          <w:rFonts w:ascii="Times New Roman" w:hAnsi="Times New Roman" w:cs="Times New Roman"/>
          <w:sz w:val="20"/>
          <w:szCs w:val="20"/>
        </w:rPr>
      </w:pPr>
      <w:r w:rsidRPr="00661675">
        <w:rPr>
          <w:rFonts w:ascii="Times New Roman" w:hAnsi="Times New Roman" w:cs="Times New Roman"/>
          <w:sz w:val="20"/>
          <w:szCs w:val="20"/>
        </w:rPr>
        <w:t xml:space="preserve">El coeficiente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b</m:t>
            </m:r>
          </m:e>
          <m:sub>
            <m:r>
              <m:rPr>
                <m:sty m:val="p"/>
              </m:rPr>
              <w:rPr>
                <w:rFonts w:ascii="Cambria Math" w:hAnsi="Cambria Math" w:cs="Times New Roman"/>
                <w:sz w:val="20"/>
                <w:szCs w:val="20"/>
              </w:rPr>
              <m:t>2</m:t>
            </m:r>
          </m:sub>
        </m:sSub>
      </m:oMath>
      <w:r w:rsidRPr="00661675">
        <w:rPr>
          <w:rFonts w:ascii="Times New Roman" w:hAnsi="Times New Roman" w:cs="Times New Roman"/>
          <w:sz w:val="20"/>
          <w:szCs w:val="20"/>
        </w:rPr>
        <w:t xml:space="preserve"> es positivo como s</w:t>
      </w:r>
      <w:r w:rsidR="00F35495">
        <w:rPr>
          <w:rFonts w:ascii="Times New Roman" w:hAnsi="Times New Roman" w:cs="Times New Roman"/>
          <w:sz w:val="20"/>
          <w:szCs w:val="20"/>
        </w:rPr>
        <w:t xml:space="preserve">e esperaba, es decir, dado que </w:t>
      </w:r>
      <w:r w:rsidRPr="00661675">
        <w:rPr>
          <w:rFonts w:ascii="Times New Roman" w:hAnsi="Times New Roman" w:cs="Times New Roman"/>
          <w:sz w:val="20"/>
          <w:szCs w:val="20"/>
        </w:rPr>
        <w:t xml:space="preserve">AR es por definición una variable negativa, existe </w:t>
      </w:r>
      <w:r w:rsidR="002C12F8" w:rsidRPr="00661675">
        <w:rPr>
          <w:rFonts w:ascii="Times New Roman" w:hAnsi="Times New Roman" w:cs="Times New Roman"/>
          <w:sz w:val="20"/>
          <w:szCs w:val="20"/>
        </w:rPr>
        <w:t xml:space="preserve">siempre </w:t>
      </w:r>
      <w:r w:rsidRPr="00661675">
        <w:rPr>
          <w:rFonts w:ascii="Times New Roman" w:hAnsi="Times New Roman" w:cs="Times New Roman"/>
          <w:sz w:val="20"/>
          <w:szCs w:val="20"/>
        </w:rPr>
        <w:t xml:space="preserve">una relación negativa entre el precio y AR. </w:t>
      </w:r>
      <w:r w:rsidR="00154C1C" w:rsidRPr="00661675">
        <w:rPr>
          <w:rFonts w:ascii="Times New Roman" w:hAnsi="Times New Roman" w:cs="Times New Roman"/>
          <w:sz w:val="20"/>
          <w:szCs w:val="20"/>
        </w:rPr>
        <w:t xml:space="preserve">El impacto de este factor es </w:t>
      </w:r>
      <w:r w:rsidR="00F35495">
        <w:rPr>
          <w:rFonts w:ascii="Times New Roman" w:hAnsi="Times New Roman" w:cs="Times New Roman"/>
          <w:sz w:val="20"/>
          <w:szCs w:val="20"/>
        </w:rPr>
        <w:t xml:space="preserve">aún </w:t>
      </w:r>
      <w:r w:rsidR="00154C1C" w:rsidRPr="00661675">
        <w:rPr>
          <w:rFonts w:ascii="Times New Roman" w:hAnsi="Times New Roman" w:cs="Times New Roman"/>
          <w:sz w:val="20"/>
          <w:szCs w:val="20"/>
        </w:rPr>
        <w:t>menor, que el que ejerce la TTM promedio.</w:t>
      </w:r>
    </w:p>
    <w:p w:rsidR="00094390" w:rsidRPr="005D226A" w:rsidRDefault="00094390" w:rsidP="00B71AE9">
      <w:pPr>
        <w:widowControl w:val="0"/>
        <w:autoSpaceDE w:val="0"/>
        <w:autoSpaceDN w:val="0"/>
        <w:adjustRightInd w:val="0"/>
        <w:spacing w:after="120" w:line="240" w:lineRule="auto"/>
        <w:jc w:val="both"/>
        <w:rPr>
          <w:rFonts w:ascii="Times New Roman" w:hAnsi="Times New Roman" w:cs="Times New Roman"/>
          <w:sz w:val="24"/>
          <w:szCs w:val="24"/>
        </w:rPr>
      </w:pPr>
      <w:r w:rsidRPr="00661675">
        <w:rPr>
          <w:rFonts w:ascii="Times New Roman" w:hAnsi="Times New Roman" w:cs="Times New Roman"/>
          <w:sz w:val="20"/>
          <w:szCs w:val="20"/>
        </w:rPr>
        <w:t>Se aprecia también una relación positiva e importante entre la concentración en el</w:t>
      </w:r>
      <w:r w:rsidR="007F2503" w:rsidRPr="00661675">
        <w:rPr>
          <w:rFonts w:ascii="Times New Roman" w:hAnsi="Times New Roman" w:cs="Times New Roman"/>
          <w:sz w:val="20"/>
          <w:szCs w:val="20"/>
        </w:rPr>
        <w:t xml:space="preserve"> mercado y el </w:t>
      </w:r>
      <w:proofErr w:type="spellStart"/>
      <w:r w:rsidR="007F2503" w:rsidRPr="00661675">
        <w:rPr>
          <w:rFonts w:ascii="Times New Roman" w:hAnsi="Times New Roman" w:cs="Times New Roman"/>
          <w:sz w:val="20"/>
          <w:szCs w:val="20"/>
        </w:rPr>
        <w:t>IpM</w:t>
      </w:r>
      <w:proofErr w:type="spellEnd"/>
      <w:r w:rsidR="007F2503" w:rsidRPr="00661675">
        <w:rPr>
          <w:rFonts w:ascii="Times New Roman" w:hAnsi="Times New Roman" w:cs="Times New Roman"/>
          <w:sz w:val="20"/>
          <w:szCs w:val="20"/>
        </w:rPr>
        <w:t>, c</w:t>
      </w:r>
      <w:r w:rsidRPr="00661675">
        <w:rPr>
          <w:rFonts w:ascii="Times New Roman" w:hAnsi="Times New Roman" w:cs="Times New Roman"/>
          <w:sz w:val="20"/>
          <w:szCs w:val="20"/>
        </w:rPr>
        <w:t>omo lo predice la teoría económica</w:t>
      </w:r>
      <w:r w:rsidR="007F2503" w:rsidRPr="00661675">
        <w:rPr>
          <w:rFonts w:ascii="Times New Roman" w:hAnsi="Times New Roman" w:cs="Times New Roman"/>
          <w:sz w:val="20"/>
          <w:szCs w:val="20"/>
        </w:rPr>
        <w:t>.</w:t>
      </w:r>
      <w:r w:rsidRPr="00661675">
        <w:rPr>
          <w:rFonts w:ascii="Times New Roman" w:hAnsi="Times New Roman" w:cs="Times New Roman"/>
          <w:sz w:val="20"/>
          <w:szCs w:val="20"/>
        </w:rPr>
        <w:t xml:space="preserve"> </w:t>
      </w:r>
      <w:r w:rsidR="00154C1C" w:rsidRPr="00661675">
        <w:rPr>
          <w:rFonts w:ascii="Times New Roman" w:hAnsi="Times New Roman" w:cs="Times New Roman"/>
          <w:sz w:val="20"/>
          <w:szCs w:val="20"/>
        </w:rPr>
        <w:t xml:space="preserve">Mientras más concentrado se encuentra la actividad, habrá una mayor capacidad de elevar los precios. El coeficiente del IHH es sustancialmente mayor que el encontrado para las </w:t>
      </w:r>
      <w:r w:rsidR="00F35495">
        <w:rPr>
          <w:rFonts w:ascii="Times New Roman" w:hAnsi="Times New Roman" w:cs="Times New Roman"/>
          <w:sz w:val="20"/>
          <w:szCs w:val="20"/>
        </w:rPr>
        <w:t xml:space="preserve">otras </w:t>
      </w:r>
      <w:r w:rsidR="00C83A98">
        <w:rPr>
          <w:rFonts w:ascii="Times New Roman" w:hAnsi="Times New Roman" w:cs="Times New Roman"/>
          <w:sz w:val="20"/>
          <w:szCs w:val="20"/>
        </w:rPr>
        <w:t>dos variables explicativas. Lo anterior</w:t>
      </w:r>
      <w:r w:rsidR="00154C1C" w:rsidRPr="00661675">
        <w:rPr>
          <w:rFonts w:ascii="Times New Roman" w:hAnsi="Times New Roman" w:cs="Times New Roman"/>
          <w:sz w:val="20"/>
          <w:szCs w:val="20"/>
        </w:rPr>
        <w:t xml:space="preserve"> sugiere que</w:t>
      </w:r>
      <w:r w:rsidR="002C12F8" w:rsidRPr="00661675">
        <w:rPr>
          <w:rFonts w:ascii="Times New Roman" w:hAnsi="Times New Roman" w:cs="Times New Roman"/>
          <w:sz w:val="20"/>
          <w:szCs w:val="20"/>
        </w:rPr>
        <w:t>, una vez que el mercado asimila</w:t>
      </w:r>
      <w:r w:rsidR="00154C1C" w:rsidRPr="00661675">
        <w:rPr>
          <w:rFonts w:ascii="Times New Roman" w:hAnsi="Times New Roman" w:cs="Times New Roman"/>
          <w:sz w:val="20"/>
          <w:szCs w:val="20"/>
        </w:rPr>
        <w:t xml:space="preserve"> el cambio derivado de la reducción de la TTM y de la aplicación de la asimetría</w:t>
      </w:r>
      <w:r w:rsidR="002C12F8" w:rsidRPr="00661675">
        <w:rPr>
          <w:rFonts w:ascii="Times New Roman" w:hAnsi="Times New Roman" w:cs="Times New Roman"/>
          <w:sz w:val="20"/>
          <w:szCs w:val="20"/>
        </w:rPr>
        <w:t>,</w:t>
      </w:r>
      <w:r w:rsidR="00154C1C" w:rsidRPr="00661675">
        <w:rPr>
          <w:rFonts w:ascii="Times New Roman" w:hAnsi="Times New Roman" w:cs="Times New Roman"/>
          <w:sz w:val="20"/>
          <w:szCs w:val="20"/>
        </w:rPr>
        <w:t xml:space="preserve"> se hace necesario también, que el mercado sea estructuralmente menos concentrado, a fin de generar una presión competitiva en los precios</w:t>
      </w:r>
      <w:r w:rsidR="00154C1C">
        <w:rPr>
          <w:rFonts w:ascii="Times New Roman" w:hAnsi="Times New Roman" w:cs="Times New Roman"/>
          <w:sz w:val="24"/>
          <w:szCs w:val="24"/>
        </w:rPr>
        <w:t xml:space="preserve">. </w:t>
      </w:r>
    </w:p>
    <w:p w:rsidR="00C83A98" w:rsidRDefault="00F2110D" w:rsidP="00B71AE9">
      <w:pPr>
        <w:widowControl w:val="0"/>
        <w:autoSpaceDE w:val="0"/>
        <w:autoSpaceDN w:val="0"/>
        <w:adjustRightInd w:val="0"/>
        <w:spacing w:after="120" w:line="240" w:lineRule="auto"/>
        <w:jc w:val="both"/>
        <w:rPr>
          <w:rFonts w:ascii="Times New Roman" w:hAnsi="Times New Roman" w:cs="Times New Roman"/>
          <w:sz w:val="20"/>
          <w:szCs w:val="20"/>
        </w:rPr>
      </w:pPr>
      <w:r w:rsidRPr="00661675">
        <w:rPr>
          <w:rFonts w:ascii="Times New Roman" w:hAnsi="Times New Roman" w:cs="Times New Roman"/>
          <w:sz w:val="20"/>
          <w:szCs w:val="20"/>
        </w:rPr>
        <w:t xml:space="preserve">Los resultados de la aplicación al modelo ajustado de </w:t>
      </w:r>
      <w:proofErr w:type="spellStart"/>
      <w:r w:rsidRPr="00661675">
        <w:rPr>
          <w:rFonts w:ascii="Times New Roman" w:hAnsi="Times New Roman" w:cs="Times New Roman"/>
          <w:sz w:val="20"/>
          <w:szCs w:val="20"/>
        </w:rPr>
        <w:t>Baranes</w:t>
      </w:r>
      <w:proofErr w:type="spellEnd"/>
      <w:r w:rsidRPr="00661675">
        <w:rPr>
          <w:rFonts w:ascii="Times New Roman" w:hAnsi="Times New Roman" w:cs="Times New Roman"/>
          <w:sz w:val="20"/>
          <w:szCs w:val="20"/>
        </w:rPr>
        <w:t xml:space="preserve"> se </w:t>
      </w:r>
      <w:r w:rsidR="003D323C" w:rsidRPr="00661675">
        <w:rPr>
          <w:rFonts w:ascii="Times New Roman" w:hAnsi="Times New Roman" w:cs="Times New Roman"/>
          <w:sz w:val="20"/>
          <w:szCs w:val="20"/>
        </w:rPr>
        <w:t>presentan en los cuadr</w:t>
      </w:r>
      <w:r w:rsidR="000219B3" w:rsidRPr="00661675">
        <w:rPr>
          <w:rFonts w:ascii="Times New Roman" w:hAnsi="Times New Roman" w:cs="Times New Roman"/>
          <w:sz w:val="20"/>
          <w:szCs w:val="20"/>
        </w:rPr>
        <w:t>os 2 y 3</w:t>
      </w:r>
      <w:r w:rsidR="004043BA" w:rsidRPr="00661675">
        <w:rPr>
          <w:rFonts w:ascii="Times New Roman" w:hAnsi="Times New Roman" w:cs="Times New Roman"/>
          <w:sz w:val="20"/>
          <w:szCs w:val="20"/>
        </w:rPr>
        <w:t>.</w:t>
      </w:r>
      <w:r w:rsidR="007427F4" w:rsidRPr="00661675">
        <w:rPr>
          <w:rFonts w:ascii="Times New Roman" w:hAnsi="Times New Roman" w:cs="Times New Roman"/>
          <w:sz w:val="20"/>
          <w:szCs w:val="20"/>
        </w:rPr>
        <w:t xml:space="preserve"> </w:t>
      </w:r>
      <w:r w:rsidR="006C4141" w:rsidRPr="00661675">
        <w:rPr>
          <w:rFonts w:ascii="Times New Roman" w:hAnsi="Times New Roman" w:cs="Times New Roman"/>
          <w:sz w:val="20"/>
          <w:szCs w:val="20"/>
        </w:rPr>
        <w:t xml:space="preserve">Esos cuadros </w:t>
      </w:r>
      <w:r w:rsidR="00955375" w:rsidRPr="00661675">
        <w:rPr>
          <w:rFonts w:ascii="Times New Roman" w:hAnsi="Times New Roman" w:cs="Times New Roman"/>
          <w:sz w:val="20"/>
          <w:szCs w:val="20"/>
        </w:rPr>
        <w:t xml:space="preserve">incluyen </w:t>
      </w:r>
      <w:r w:rsidR="005D1524" w:rsidRPr="00661675">
        <w:rPr>
          <w:rFonts w:ascii="Times New Roman" w:hAnsi="Times New Roman" w:cs="Times New Roman"/>
          <w:sz w:val="20"/>
          <w:szCs w:val="20"/>
        </w:rPr>
        <w:t xml:space="preserve">los resultados obtenidos por </w:t>
      </w:r>
      <w:proofErr w:type="spellStart"/>
      <w:r w:rsidR="0058383D" w:rsidRPr="00661675">
        <w:rPr>
          <w:rFonts w:ascii="Times New Roman" w:hAnsi="Times New Roman" w:cs="Times New Roman"/>
          <w:sz w:val="20"/>
          <w:szCs w:val="20"/>
        </w:rPr>
        <w:t>Baranes</w:t>
      </w:r>
      <w:proofErr w:type="spellEnd"/>
      <w:r w:rsidR="0058383D" w:rsidRPr="00661675">
        <w:rPr>
          <w:rFonts w:ascii="Times New Roman" w:hAnsi="Times New Roman" w:cs="Times New Roman"/>
          <w:sz w:val="20"/>
          <w:szCs w:val="20"/>
        </w:rPr>
        <w:t xml:space="preserve"> et al </w:t>
      </w:r>
      <w:r w:rsidR="00C83A98">
        <w:rPr>
          <w:rFonts w:ascii="Times New Roman" w:hAnsi="Times New Roman" w:cs="Times New Roman"/>
          <w:sz w:val="20"/>
          <w:szCs w:val="20"/>
        </w:rPr>
        <w:t xml:space="preserve">(2011 b) </w:t>
      </w:r>
      <w:r w:rsidR="0058383D" w:rsidRPr="00661675">
        <w:rPr>
          <w:rFonts w:ascii="Times New Roman" w:hAnsi="Times New Roman" w:cs="Times New Roman"/>
          <w:sz w:val="20"/>
          <w:szCs w:val="20"/>
        </w:rPr>
        <w:t>para el caso europeo</w:t>
      </w:r>
      <w:r w:rsidR="005D1524" w:rsidRPr="00661675">
        <w:rPr>
          <w:rStyle w:val="Refdenotaalpie"/>
          <w:rFonts w:ascii="Times New Roman" w:hAnsi="Times New Roman" w:cs="Times New Roman"/>
          <w:sz w:val="20"/>
          <w:szCs w:val="20"/>
        </w:rPr>
        <w:footnoteReference w:id="18"/>
      </w:r>
      <w:r w:rsidR="005D1524" w:rsidRPr="00661675">
        <w:rPr>
          <w:rFonts w:ascii="Times New Roman" w:hAnsi="Times New Roman" w:cs="Times New Roman"/>
          <w:sz w:val="20"/>
          <w:szCs w:val="20"/>
        </w:rPr>
        <w:t>.</w:t>
      </w:r>
      <w:r w:rsidR="006C3625" w:rsidRPr="00661675">
        <w:rPr>
          <w:rFonts w:ascii="Times New Roman" w:hAnsi="Times New Roman" w:cs="Times New Roman"/>
          <w:sz w:val="20"/>
          <w:szCs w:val="20"/>
        </w:rPr>
        <w:t xml:space="preserve"> </w:t>
      </w:r>
      <w:r w:rsidR="00180270" w:rsidRPr="00661675">
        <w:rPr>
          <w:rFonts w:ascii="Times New Roman" w:hAnsi="Times New Roman" w:cs="Times New Roman"/>
          <w:sz w:val="20"/>
          <w:szCs w:val="20"/>
        </w:rPr>
        <w:t xml:space="preserve">En general, destaca de los resultados que el sentido de los coeficientes que resultan significativos es igual al calculado por </w:t>
      </w:r>
      <w:proofErr w:type="spellStart"/>
      <w:r w:rsidR="00180270" w:rsidRPr="00661675">
        <w:rPr>
          <w:rFonts w:ascii="Times New Roman" w:hAnsi="Times New Roman" w:cs="Times New Roman"/>
          <w:sz w:val="20"/>
          <w:szCs w:val="20"/>
        </w:rPr>
        <w:t>Baranes</w:t>
      </w:r>
      <w:proofErr w:type="spellEnd"/>
      <w:r w:rsidR="00180270" w:rsidRPr="00661675">
        <w:rPr>
          <w:rFonts w:ascii="Times New Roman" w:hAnsi="Times New Roman" w:cs="Times New Roman"/>
          <w:sz w:val="20"/>
          <w:szCs w:val="20"/>
        </w:rPr>
        <w:t xml:space="preserve"> para los países europeos. Lo anterior, no obstante que la especificación del modelo y la técnica para eliminar la </w:t>
      </w:r>
      <w:proofErr w:type="spellStart"/>
      <w:r w:rsidR="00180270" w:rsidRPr="00661675">
        <w:rPr>
          <w:rFonts w:ascii="Times New Roman" w:hAnsi="Times New Roman" w:cs="Times New Roman"/>
          <w:sz w:val="20"/>
          <w:szCs w:val="20"/>
        </w:rPr>
        <w:t>endogeneidad</w:t>
      </w:r>
      <w:proofErr w:type="spellEnd"/>
      <w:r w:rsidR="00180270" w:rsidRPr="00661675">
        <w:rPr>
          <w:rFonts w:ascii="Times New Roman" w:hAnsi="Times New Roman" w:cs="Times New Roman"/>
          <w:sz w:val="20"/>
          <w:szCs w:val="20"/>
        </w:rPr>
        <w:t xml:space="preserve"> es diferente.</w:t>
      </w:r>
      <w:r w:rsidR="000219B3" w:rsidRPr="00661675">
        <w:rPr>
          <w:rFonts w:ascii="Times New Roman" w:hAnsi="Times New Roman" w:cs="Times New Roman"/>
          <w:sz w:val="20"/>
          <w:szCs w:val="20"/>
        </w:rPr>
        <w:t xml:space="preserve"> </w:t>
      </w:r>
    </w:p>
    <w:p w:rsidR="00327FF3" w:rsidRPr="00661675" w:rsidRDefault="00C83A98" w:rsidP="00B71AE9">
      <w:pPr>
        <w:widowControl w:val="0"/>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A</w:t>
      </w:r>
      <w:r w:rsidR="000219B3" w:rsidRPr="00661675">
        <w:rPr>
          <w:rFonts w:ascii="Times New Roman" w:hAnsi="Times New Roman" w:cs="Times New Roman"/>
          <w:sz w:val="20"/>
          <w:szCs w:val="20"/>
        </w:rPr>
        <w:t xml:space="preserve"> diferencia del estudio referido, en este caso no se encuentra que las variables de desempeño se vean afectada</w:t>
      </w:r>
      <w:r>
        <w:rPr>
          <w:rFonts w:ascii="Times New Roman" w:hAnsi="Times New Roman" w:cs="Times New Roman"/>
          <w:sz w:val="20"/>
          <w:szCs w:val="20"/>
        </w:rPr>
        <w:t xml:space="preserve">s por la asimetría regulatoria; es el nivel de las TTM el que mayor incidencia tiene sobre el desempeño. </w:t>
      </w:r>
      <w:r w:rsidR="003C5CAA">
        <w:rPr>
          <w:rFonts w:ascii="Times New Roman" w:hAnsi="Times New Roman" w:cs="Times New Roman"/>
          <w:sz w:val="20"/>
          <w:szCs w:val="20"/>
        </w:rPr>
        <w:t>Así, e</w:t>
      </w:r>
      <w:r w:rsidR="0004075D" w:rsidRPr="00661675">
        <w:rPr>
          <w:rFonts w:ascii="Times New Roman" w:hAnsi="Times New Roman" w:cs="Times New Roman"/>
          <w:sz w:val="20"/>
          <w:szCs w:val="20"/>
        </w:rPr>
        <w:t>l cuadro 2</w:t>
      </w:r>
      <w:r w:rsidR="00C2762F" w:rsidRPr="00661675">
        <w:rPr>
          <w:rFonts w:ascii="Times New Roman" w:hAnsi="Times New Roman" w:cs="Times New Roman"/>
          <w:sz w:val="20"/>
          <w:szCs w:val="20"/>
        </w:rPr>
        <w:t xml:space="preserve"> (a</w:t>
      </w:r>
      <w:r w:rsidR="006C4141" w:rsidRPr="00661675">
        <w:rPr>
          <w:rFonts w:ascii="Times New Roman" w:hAnsi="Times New Roman" w:cs="Times New Roman"/>
          <w:sz w:val="20"/>
          <w:szCs w:val="20"/>
        </w:rPr>
        <w:t xml:space="preserve"> y b) presenta </w:t>
      </w:r>
      <w:r w:rsidR="00C2762F" w:rsidRPr="00661675">
        <w:rPr>
          <w:rFonts w:ascii="Times New Roman" w:hAnsi="Times New Roman" w:cs="Times New Roman"/>
          <w:sz w:val="20"/>
          <w:szCs w:val="20"/>
        </w:rPr>
        <w:t>las e</w:t>
      </w:r>
      <w:r w:rsidR="00B7545B" w:rsidRPr="00661675">
        <w:rPr>
          <w:rFonts w:ascii="Times New Roman" w:hAnsi="Times New Roman" w:cs="Times New Roman"/>
          <w:sz w:val="20"/>
          <w:szCs w:val="20"/>
        </w:rPr>
        <w:t>stimaciones de las Ecuaciones 2</w:t>
      </w:r>
      <w:r w:rsidR="00F35495">
        <w:rPr>
          <w:rFonts w:ascii="Times New Roman" w:hAnsi="Times New Roman" w:cs="Times New Roman"/>
          <w:sz w:val="20"/>
          <w:szCs w:val="20"/>
        </w:rPr>
        <w:t xml:space="preserve"> </w:t>
      </w:r>
      <w:r w:rsidR="00B7545B" w:rsidRPr="00661675">
        <w:rPr>
          <w:rFonts w:ascii="Times New Roman" w:hAnsi="Times New Roman" w:cs="Times New Roman"/>
          <w:sz w:val="20"/>
          <w:szCs w:val="20"/>
        </w:rPr>
        <w:t>a</w:t>
      </w:r>
      <w:r w:rsidR="00C2762F" w:rsidRPr="00661675">
        <w:rPr>
          <w:rFonts w:ascii="Times New Roman" w:hAnsi="Times New Roman" w:cs="Times New Roman"/>
          <w:sz w:val="20"/>
          <w:szCs w:val="20"/>
        </w:rPr>
        <w:t xml:space="preserve"> y b, para el </w:t>
      </w:r>
      <w:r w:rsidR="000C0221" w:rsidRPr="00661675">
        <w:rPr>
          <w:rFonts w:ascii="Times New Roman" w:hAnsi="Times New Roman" w:cs="Times New Roman"/>
          <w:sz w:val="20"/>
          <w:szCs w:val="20"/>
        </w:rPr>
        <w:t>preponderante</w:t>
      </w:r>
      <w:r w:rsidR="00C2762F" w:rsidRPr="00661675">
        <w:rPr>
          <w:rFonts w:ascii="Times New Roman" w:hAnsi="Times New Roman" w:cs="Times New Roman"/>
          <w:sz w:val="20"/>
          <w:szCs w:val="20"/>
        </w:rPr>
        <w:t xml:space="preserve">. </w:t>
      </w:r>
      <w:r w:rsidR="000219B3" w:rsidRPr="00661675">
        <w:rPr>
          <w:rFonts w:ascii="Times New Roman" w:hAnsi="Times New Roman" w:cs="Times New Roman"/>
          <w:sz w:val="20"/>
          <w:szCs w:val="20"/>
        </w:rPr>
        <w:t xml:space="preserve">En México se encuentra que el margen </w:t>
      </w:r>
      <w:proofErr w:type="spellStart"/>
      <w:r w:rsidR="000219B3" w:rsidRPr="00661675">
        <w:rPr>
          <w:rFonts w:ascii="Times New Roman" w:hAnsi="Times New Roman" w:cs="Times New Roman"/>
          <w:sz w:val="20"/>
          <w:szCs w:val="20"/>
        </w:rPr>
        <w:t>Ebdita</w:t>
      </w:r>
      <w:proofErr w:type="spellEnd"/>
      <w:r w:rsidR="000219B3" w:rsidRPr="00661675">
        <w:rPr>
          <w:rFonts w:ascii="Times New Roman" w:hAnsi="Times New Roman" w:cs="Times New Roman"/>
          <w:sz w:val="20"/>
          <w:szCs w:val="20"/>
        </w:rPr>
        <w:t xml:space="preserve"> guarda sólo una relación estadísticamente significativa con la TTM que aplica ese operador. De acuerdo a lo esperado, la relación entre esas variabl</w:t>
      </w:r>
      <w:r w:rsidR="00F35495">
        <w:rPr>
          <w:rFonts w:ascii="Times New Roman" w:hAnsi="Times New Roman" w:cs="Times New Roman"/>
          <w:sz w:val="20"/>
          <w:szCs w:val="20"/>
        </w:rPr>
        <w:t>es es positiva. A diferencia de</w:t>
      </w:r>
      <w:r w:rsidR="001B24AE" w:rsidRPr="00661675">
        <w:rPr>
          <w:rFonts w:ascii="Times New Roman" w:hAnsi="Times New Roman" w:cs="Times New Roman"/>
          <w:sz w:val="20"/>
          <w:szCs w:val="20"/>
        </w:rPr>
        <w:t xml:space="preserve"> las estimaciones realizadas por </w:t>
      </w:r>
      <w:proofErr w:type="spellStart"/>
      <w:r w:rsidR="001B24AE" w:rsidRPr="00661675">
        <w:rPr>
          <w:rFonts w:ascii="Times New Roman" w:hAnsi="Times New Roman" w:cs="Times New Roman"/>
          <w:sz w:val="20"/>
          <w:szCs w:val="20"/>
        </w:rPr>
        <w:t>Baranes</w:t>
      </w:r>
      <w:proofErr w:type="spellEnd"/>
      <w:r w:rsidR="001B24AE" w:rsidRPr="00661675">
        <w:rPr>
          <w:rFonts w:ascii="Times New Roman" w:hAnsi="Times New Roman" w:cs="Times New Roman"/>
          <w:sz w:val="20"/>
          <w:szCs w:val="20"/>
        </w:rPr>
        <w:t xml:space="preserve"> et al (2011</w:t>
      </w:r>
      <w:r w:rsidR="003C5CAA">
        <w:rPr>
          <w:rFonts w:ascii="Times New Roman" w:hAnsi="Times New Roman" w:cs="Times New Roman"/>
          <w:sz w:val="20"/>
          <w:szCs w:val="20"/>
        </w:rPr>
        <w:t xml:space="preserve"> </w:t>
      </w:r>
      <w:r w:rsidR="0004075D" w:rsidRPr="00661675">
        <w:rPr>
          <w:rFonts w:ascii="Times New Roman" w:hAnsi="Times New Roman" w:cs="Times New Roman"/>
          <w:sz w:val="20"/>
          <w:szCs w:val="20"/>
        </w:rPr>
        <w:t>b</w:t>
      </w:r>
      <w:r w:rsidR="001B24AE" w:rsidRPr="00661675">
        <w:rPr>
          <w:rFonts w:ascii="Times New Roman" w:hAnsi="Times New Roman" w:cs="Times New Roman"/>
          <w:sz w:val="20"/>
          <w:szCs w:val="20"/>
        </w:rPr>
        <w:t>), el margen</w:t>
      </w:r>
      <w:r w:rsidR="004C1FD9" w:rsidRPr="00661675">
        <w:rPr>
          <w:rFonts w:ascii="Times New Roman" w:hAnsi="Times New Roman" w:cs="Times New Roman"/>
          <w:sz w:val="20"/>
          <w:szCs w:val="20"/>
        </w:rPr>
        <w:t xml:space="preserve"> </w:t>
      </w:r>
      <w:proofErr w:type="spellStart"/>
      <w:r w:rsidR="004C1FD9" w:rsidRPr="00661675">
        <w:rPr>
          <w:rFonts w:ascii="Times New Roman" w:hAnsi="Times New Roman" w:cs="Times New Roman"/>
          <w:sz w:val="20"/>
          <w:szCs w:val="20"/>
        </w:rPr>
        <w:t>Ebitda</w:t>
      </w:r>
      <w:proofErr w:type="spellEnd"/>
      <w:r w:rsidR="004C1FD9" w:rsidRPr="00661675">
        <w:rPr>
          <w:rFonts w:ascii="Times New Roman" w:hAnsi="Times New Roman" w:cs="Times New Roman"/>
          <w:sz w:val="20"/>
          <w:szCs w:val="20"/>
        </w:rPr>
        <w:t xml:space="preserve"> del </w:t>
      </w:r>
      <w:r w:rsidR="000C0221" w:rsidRPr="00661675">
        <w:rPr>
          <w:rFonts w:ascii="Times New Roman" w:hAnsi="Times New Roman" w:cs="Times New Roman"/>
          <w:sz w:val="20"/>
          <w:szCs w:val="20"/>
        </w:rPr>
        <w:t>preponderante</w:t>
      </w:r>
      <w:r w:rsidR="004C1FD9" w:rsidRPr="00661675">
        <w:rPr>
          <w:rFonts w:ascii="Times New Roman" w:hAnsi="Times New Roman" w:cs="Times New Roman"/>
          <w:sz w:val="20"/>
          <w:szCs w:val="20"/>
        </w:rPr>
        <w:t xml:space="preserve"> (Cuadro 2</w:t>
      </w:r>
      <w:r w:rsidR="001B24AE" w:rsidRPr="00661675">
        <w:rPr>
          <w:rFonts w:ascii="Times New Roman" w:hAnsi="Times New Roman" w:cs="Times New Roman"/>
          <w:sz w:val="20"/>
          <w:szCs w:val="20"/>
        </w:rPr>
        <w:t xml:space="preserve">a) </w:t>
      </w:r>
      <w:r w:rsidR="000219B3" w:rsidRPr="00661675">
        <w:rPr>
          <w:rFonts w:ascii="Times New Roman" w:hAnsi="Times New Roman" w:cs="Times New Roman"/>
          <w:sz w:val="20"/>
          <w:szCs w:val="20"/>
        </w:rPr>
        <w:t xml:space="preserve">no </w:t>
      </w:r>
      <w:r w:rsidR="001B24AE" w:rsidRPr="00661675">
        <w:rPr>
          <w:rFonts w:ascii="Times New Roman" w:hAnsi="Times New Roman" w:cs="Times New Roman"/>
          <w:sz w:val="20"/>
          <w:szCs w:val="20"/>
        </w:rPr>
        <w:t xml:space="preserve">muestra </w:t>
      </w:r>
      <w:r w:rsidR="00610F5E" w:rsidRPr="00661675">
        <w:rPr>
          <w:rFonts w:ascii="Times New Roman" w:hAnsi="Times New Roman" w:cs="Times New Roman"/>
          <w:sz w:val="20"/>
          <w:szCs w:val="20"/>
        </w:rPr>
        <w:t xml:space="preserve">una </w:t>
      </w:r>
      <w:r w:rsidR="001B24AE" w:rsidRPr="00661675">
        <w:rPr>
          <w:rFonts w:ascii="Times New Roman" w:hAnsi="Times New Roman" w:cs="Times New Roman"/>
          <w:sz w:val="20"/>
          <w:szCs w:val="20"/>
        </w:rPr>
        <w:t xml:space="preserve">relación significativa con su valor rezagado, </w:t>
      </w:r>
      <w:r w:rsidR="00092A23" w:rsidRPr="00661675">
        <w:rPr>
          <w:rFonts w:ascii="Times New Roman" w:hAnsi="Times New Roman" w:cs="Times New Roman"/>
          <w:sz w:val="20"/>
          <w:szCs w:val="20"/>
        </w:rPr>
        <w:t>ni  con</w:t>
      </w:r>
      <w:r w:rsidR="00327FF3" w:rsidRPr="00661675">
        <w:rPr>
          <w:rFonts w:ascii="Times New Roman" w:hAnsi="Times New Roman" w:cs="Times New Roman"/>
          <w:sz w:val="20"/>
          <w:szCs w:val="20"/>
        </w:rPr>
        <w:t xml:space="preserve"> la asimetría regulatoria</w:t>
      </w:r>
      <w:r w:rsidR="00092A23" w:rsidRPr="00661675">
        <w:rPr>
          <w:rStyle w:val="Refdenotaalpie"/>
          <w:rFonts w:ascii="Times New Roman" w:hAnsi="Times New Roman" w:cs="Times New Roman"/>
          <w:sz w:val="20"/>
          <w:szCs w:val="20"/>
        </w:rPr>
        <w:footnoteReference w:id="19"/>
      </w:r>
      <w:r w:rsidR="00327FF3" w:rsidRPr="00661675">
        <w:rPr>
          <w:rFonts w:ascii="Times New Roman" w:hAnsi="Times New Roman" w:cs="Times New Roman"/>
          <w:sz w:val="20"/>
          <w:szCs w:val="20"/>
        </w:rPr>
        <w:t xml:space="preserve">. </w:t>
      </w:r>
      <w:r w:rsidR="001B24AE" w:rsidRPr="00661675">
        <w:rPr>
          <w:rFonts w:ascii="Times New Roman" w:hAnsi="Times New Roman" w:cs="Times New Roman"/>
          <w:sz w:val="20"/>
          <w:szCs w:val="20"/>
        </w:rPr>
        <w:t xml:space="preserve"> </w:t>
      </w:r>
    </w:p>
    <w:p w:rsidR="006C3625" w:rsidRDefault="003C5CAA" w:rsidP="00B71AE9">
      <w:pPr>
        <w:widowControl w:val="0"/>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P</w:t>
      </w:r>
      <w:r w:rsidRPr="00661675">
        <w:rPr>
          <w:rFonts w:ascii="Times New Roman" w:hAnsi="Times New Roman" w:cs="Times New Roman"/>
          <w:sz w:val="20"/>
          <w:szCs w:val="20"/>
        </w:rPr>
        <w:t>ara el caso de la participación de mercado del preponderante</w:t>
      </w:r>
      <w:r>
        <w:rPr>
          <w:rFonts w:ascii="Times New Roman" w:hAnsi="Times New Roman" w:cs="Times New Roman"/>
          <w:sz w:val="20"/>
          <w:szCs w:val="20"/>
        </w:rPr>
        <w:t>, s</w:t>
      </w:r>
      <w:r w:rsidR="006C3625" w:rsidRPr="00661675">
        <w:rPr>
          <w:rFonts w:ascii="Times New Roman" w:hAnsi="Times New Roman" w:cs="Times New Roman"/>
          <w:sz w:val="20"/>
          <w:szCs w:val="20"/>
        </w:rPr>
        <w:t xml:space="preserve">e aprecia coincidencia con </w:t>
      </w:r>
      <w:proofErr w:type="spellStart"/>
      <w:r w:rsidR="006C3625" w:rsidRPr="00661675">
        <w:rPr>
          <w:rFonts w:ascii="Times New Roman" w:hAnsi="Times New Roman" w:cs="Times New Roman"/>
          <w:sz w:val="20"/>
          <w:szCs w:val="20"/>
        </w:rPr>
        <w:t>Baranes</w:t>
      </w:r>
      <w:proofErr w:type="spellEnd"/>
      <w:r w:rsidR="006C3625" w:rsidRPr="00661675">
        <w:rPr>
          <w:rFonts w:ascii="Times New Roman" w:hAnsi="Times New Roman" w:cs="Times New Roman"/>
          <w:sz w:val="20"/>
          <w:szCs w:val="20"/>
        </w:rPr>
        <w:t xml:space="preserve"> </w:t>
      </w:r>
      <w:r w:rsidR="004C1FD9" w:rsidRPr="00661675">
        <w:rPr>
          <w:rFonts w:ascii="Times New Roman" w:hAnsi="Times New Roman" w:cs="Times New Roman"/>
          <w:sz w:val="20"/>
          <w:szCs w:val="20"/>
        </w:rPr>
        <w:t>et</w:t>
      </w:r>
      <w:r>
        <w:rPr>
          <w:rFonts w:ascii="Times New Roman" w:hAnsi="Times New Roman" w:cs="Times New Roman"/>
          <w:sz w:val="20"/>
          <w:szCs w:val="20"/>
        </w:rPr>
        <w:t xml:space="preserve"> al (2011 </w:t>
      </w:r>
      <w:r w:rsidR="004E109C" w:rsidRPr="00661675">
        <w:rPr>
          <w:rFonts w:ascii="Times New Roman" w:hAnsi="Times New Roman" w:cs="Times New Roman"/>
          <w:sz w:val="20"/>
          <w:szCs w:val="20"/>
        </w:rPr>
        <w:t>b</w:t>
      </w:r>
      <w:r w:rsidR="00327FF3" w:rsidRPr="00661675">
        <w:rPr>
          <w:rFonts w:ascii="Times New Roman" w:hAnsi="Times New Roman" w:cs="Times New Roman"/>
          <w:sz w:val="20"/>
          <w:szCs w:val="20"/>
        </w:rPr>
        <w:t>)</w:t>
      </w:r>
      <w:r w:rsidR="006C3625" w:rsidRPr="00661675">
        <w:rPr>
          <w:rFonts w:ascii="Times New Roman" w:hAnsi="Times New Roman" w:cs="Times New Roman"/>
          <w:sz w:val="20"/>
          <w:szCs w:val="20"/>
        </w:rPr>
        <w:t>, la cual depende de su valor rezagado y n</w:t>
      </w:r>
      <w:r w:rsidR="00F669AA" w:rsidRPr="00661675">
        <w:rPr>
          <w:rFonts w:ascii="Times New Roman" w:hAnsi="Times New Roman" w:cs="Times New Roman"/>
          <w:sz w:val="20"/>
          <w:szCs w:val="20"/>
        </w:rPr>
        <w:t>o de la asimetría regulatoria</w:t>
      </w:r>
      <w:r>
        <w:rPr>
          <w:rFonts w:ascii="Times New Roman" w:hAnsi="Times New Roman" w:cs="Times New Roman"/>
          <w:sz w:val="20"/>
          <w:szCs w:val="20"/>
        </w:rPr>
        <w:t xml:space="preserve"> </w:t>
      </w:r>
      <w:r w:rsidRPr="00661675">
        <w:rPr>
          <w:rFonts w:ascii="Times New Roman" w:hAnsi="Times New Roman" w:cs="Times New Roman"/>
          <w:sz w:val="20"/>
          <w:szCs w:val="20"/>
        </w:rPr>
        <w:t>(cuadro 2b)</w:t>
      </w:r>
      <w:r w:rsidR="006C3625" w:rsidRPr="00661675">
        <w:rPr>
          <w:rFonts w:ascii="Times New Roman" w:hAnsi="Times New Roman" w:cs="Times New Roman"/>
          <w:sz w:val="20"/>
          <w:szCs w:val="20"/>
        </w:rPr>
        <w:t xml:space="preserve">. </w:t>
      </w:r>
    </w:p>
    <w:p w:rsidR="00125C87" w:rsidRPr="00661675" w:rsidRDefault="00125C87" w:rsidP="00B71AE9">
      <w:pPr>
        <w:widowControl w:val="0"/>
        <w:autoSpaceDE w:val="0"/>
        <w:autoSpaceDN w:val="0"/>
        <w:adjustRightInd w:val="0"/>
        <w:spacing w:after="120" w:line="240" w:lineRule="auto"/>
        <w:jc w:val="both"/>
        <w:rPr>
          <w:rFonts w:ascii="Times New Roman" w:hAnsi="Times New Roman" w:cs="Times New Roman"/>
          <w:sz w:val="20"/>
          <w:szCs w:val="20"/>
        </w:rPr>
      </w:pPr>
    </w:p>
    <w:tbl>
      <w:tblPr>
        <w:tblW w:w="7746" w:type="dxa"/>
        <w:jc w:val="center"/>
        <w:tblLayout w:type="fixed"/>
        <w:tblCellMar>
          <w:left w:w="75" w:type="dxa"/>
          <w:right w:w="75" w:type="dxa"/>
        </w:tblCellMar>
        <w:tblLook w:val="0000" w:firstRow="0" w:lastRow="0" w:firstColumn="0" w:lastColumn="0" w:noHBand="0" w:noVBand="0"/>
      </w:tblPr>
      <w:tblGrid>
        <w:gridCol w:w="7746"/>
      </w:tblGrid>
      <w:tr w:rsidR="006C3625" w:rsidRPr="005D226A" w:rsidTr="00CA3017">
        <w:trPr>
          <w:jc w:val="center"/>
        </w:trPr>
        <w:tc>
          <w:tcPr>
            <w:tcW w:w="7746" w:type="dxa"/>
            <w:tcBorders>
              <w:top w:val="single" w:sz="4" w:space="0" w:color="auto"/>
              <w:left w:val="nil"/>
              <w:bottom w:val="single" w:sz="4" w:space="0" w:color="auto"/>
              <w:right w:val="nil"/>
            </w:tcBorders>
          </w:tcPr>
          <w:p w:rsidR="006C3625" w:rsidRPr="00125C87" w:rsidRDefault="006C3625" w:rsidP="00BD6479">
            <w:pPr>
              <w:widowControl w:val="0"/>
              <w:autoSpaceDE w:val="0"/>
              <w:autoSpaceDN w:val="0"/>
              <w:adjustRightInd w:val="0"/>
              <w:spacing w:after="0" w:line="240" w:lineRule="auto"/>
              <w:jc w:val="center"/>
              <w:rPr>
                <w:rFonts w:ascii="Times New Roman" w:hAnsi="Times New Roman" w:cs="Times New Roman"/>
                <w:b/>
                <w:sz w:val="18"/>
                <w:szCs w:val="18"/>
              </w:rPr>
            </w:pPr>
            <w:r w:rsidRPr="00125C87">
              <w:rPr>
                <w:rFonts w:ascii="Times New Roman" w:hAnsi="Times New Roman" w:cs="Times New Roman"/>
                <w:b/>
                <w:sz w:val="18"/>
                <w:szCs w:val="18"/>
              </w:rPr>
              <w:t>C</w:t>
            </w:r>
            <w:r w:rsidR="004C1FD9" w:rsidRPr="00125C87">
              <w:rPr>
                <w:rFonts w:ascii="Times New Roman" w:hAnsi="Times New Roman" w:cs="Times New Roman"/>
                <w:b/>
                <w:sz w:val="18"/>
                <w:szCs w:val="18"/>
              </w:rPr>
              <w:t>uadro 2</w:t>
            </w:r>
            <w:r w:rsidR="00180270" w:rsidRPr="00125C87">
              <w:rPr>
                <w:rFonts w:ascii="Times New Roman" w:hAnsi="Times New Roman" w:cs="Times New Roman"/>
                <w:b/>
                <w:sz w:val="18"/>
                <w:szCs w:val="18"/>
              </w:rPr>
              <w:t>. Resultados Ecuaciones</w:t>
            </w:r>
            <w:r w:rsidRPr="00125C87">
              <w:rPr>
                <w:rFonts w:ascii="Times New Roman" w:hAnsi="Times New Roman" w:cs="Times New Roman"/>
                <w:b/>
                <w:sz w:val="18"/>
                <w:szCs w:val="18"/>
              </w:rPr>
              <w:t xml:space="preserve"> 2</w:t>
            </w:r>
            <w:r w:rsidR="00180270" w:rsidRPr="00125C87">
              <w:rPr>
                <w:rFonts w:ascii="Times New Roman" w:hAnsi="Times New Roman" w:cs="Times New Roman"/>
                <w:b/>
                <w:sz w:val="18"/>
                <w:szCs w:val="18"/>
              </w:rPr>
              <w:t xml:space="preserve"> </w:t>
            </w:r>
            <w:r w:rsidR="002C12F8" w:rsidRPr="00125C87">
              <w:rPr>
                <w:rFonts w:ascii="Times New Roman" w:hAnsi="Times New Roman" w:cs="Times New Roman"/>
                <w:b/>
                <w:sz w:val="18"/>
                <w:szCs w:val="18"/>
              </w:rPr>
              <w:t>(</w:t>
            </w:r>
            <w:r w:rsidR="00180270" w:rsidRPr="00125C87">
              <w:rPr>
                <w:rFonts w:ascii="Times New Roman" w:hAnsi="Times New Roman" w:cs="Times New Roman"/>
                <w:b/>
                <w:sz w:val="18"/>
                <w:szCs w:val="18"/>
              </w:rPr>
              <w:t>a y b</w:t>
            </w:r>
            <w:r w:rsidR="002C12F8" w:rsidRPr="00125C87">
              <w:rPr>
                <w:rFonts w:ascii="Times New Roman" w:hAnsi="Times New Roman" w:cs="Times New Roman"/>
                <w:b/>
                <w:sz w:val="18"/>
                <w:szCs w:val="18"/>
              </w:rPr>
              <w:t>)</w:t>
            </w:r>
            <w:r w:rsidR="00180270" w:rsidRPr="00125C87">
              <w:rPr>
                <w:rFonts w:ascii="Times New Roman" w:hAnsi="Times New Roman" w:cs="Times New Roman"/>
                <w:b/>
                <w:sz w:val="18"/>
                <w:szCs w:val="18"/>
              </w:rPr>
              <w:t>-</w:t>
            </w:r>
            <w:r w:rsidRPr="00125C87">
              <w:rPr>
                <w:rFonts w:ascii="Times New Roman" w:hAnsi="Times New Roman" w:cs="Times New Roman"/>
                <w:b/>
                <w:sz w:val="18"/>
                <w:szCs w:val="18"/>
              </w:rPr>
              <w:t xml:space="preserve"> </w:t>
            </w:r>
            <w:r w:rsidR="000C0221" w:rsidRPr="00125C87">
              <w:rPr>
                <w:rFonts w:ascii="Times New Roman" w:hAnsi="Times New Roman" w:cs="Times New Roman"/>
                <w:b/>
                <w:sz w:val="18"/>
                <w:szCs w:val="18"/>
              </w:rPr>
              <w:t>Preponderante</w:t>
            </w:r>
          </w:p>
          <w:p w:rsidR="006C3625" w:rsidRPr="005D226A" w:rsidRDefault="006C3625" w:rsidP="00BD6479">
            <w:pPr>
              <w:widowControl w:val="0"/>
              <w:autoSpaceDE w:val="0"/>
              <w:autoSpaceDN w:val="0"/>
              <w:adjustRightInd w:val="0"/>
              <w:spacing w:after="0" w:line="240" w:lineRule="auto"/>
              <w:jc w:val="center"/>
              <w:rPr>
                <w:rFonts w:ascii="Times New Roman" w:hAnsi="Times New Roman" w:cs="Times New Roman"/>
                <w:sz w:val="24"/>
                <w:szCs w:val="24"/>
              </w:rPr>
            </w:pPr>
            <w:r w:rsidRPr="00125C87">
              <w:rPr>
                <w:rFonts w:ascii="Times New Roman" w:hAnsi="Times New Roman" w:cs="Times New Roman"/>
                <w:b/>
                <w:sz w:val="18"/>
                <w:szCs w:val="18"/>
              </w:rPr>
              <w:t xml:space="preserve">Indicadores de desempeño: Margen </w:t>
            </w:r>
            <w:proofErr w:type="spellStart"/>
            <w:r w:rsidRPr="00125C87">
              <w:rPr>
                <w:rFonts w:ascii="Times New Roman" w:hAnsi="Times New Roman" w:cs="Times New Roman"/>
                <w:b/>
                <w:sz w:val="18"/>
                <w:szCs w:val="18"/>
              </w:rPr>
              <w:t>Ebitda</w:t>
            </w:r>
            <w:proofErr w:type="spellEnd"/>
            <w:r w:rsidRPr="00125C87">
              <w:rPr>
                <w:rFonts w:ascii="Times New Roman" w:hAnsi="Times New Roman" w:cs="Times New Roman"/>
                <w:b/>
                <w:sz w:val="18"/>
                <w:szCs w:val="18"/>
              </w:rPr>
              <w:t xml:space="preserve"> y Participaciones de Mercado</w:t>
            </w:r>
            <w:r w:rsidRPr="005D226A">
              <w:rPr>
                <w:rFonts w:ascii="Times New Roman" w:hAnsi="Times New Roman" w:cs="Times New Roman"/>
                <w:b/>
                <w:sz w:val="24"/>
                <w:szCs w:val="24"/>
              </w:rPr>
              <w:t xml:space="preserve">. </w:t>
            </w:r>
          </w:p>
        </w:tc>
      </w:tr>
      <w:tr w:rsidR="00F669AA" w:rsidRPr="005D226A" w:rsidTr="00CA3017">
        <w:trPr>
          <w:trHeight w:val="4205"/>
          <w:jc w:val="center"/>
        </w:trPr>
        <w:tc>
          <w:tcPr>
            <w:tcW w:w="7746" w:type="dxa"/>
            <w:tcBorders>
              <w:top w:val="single" w:sz="4" w:space="0" w:color="auto"/>
              <w:left w:val="nil"/>
              <w:bottom w:val="nil"/>
              <w:right w:val="nil"/>
            </w:tcBorders>
          </w:tcPr>
          <w:tbl>
            <w:tblPr>
              <w:tblStyle w:val="Tablaconcuadrcula"/>
              <w:tblW w:w="0" w:type="auto"/>
              <w:tblLayout w:type="fixed"/>
              <w:tblLook w:val="04A0" w:firstRow="1" w:lastRow="0" w:firstColumn="1" w:lastColumn="0" w:noHBand="0" w:noVBand="1"/>
            </w:tblPr>
            <w:tblGrid>
              <w:gridCol w:w="1695"/>
              <w:gridCol w:w="1561"/>
              <w:gridCol w:w="1084"/>
              <w:gridCol w:w="1751"/>
              <w:gridCol w:w="967"/>
            </w:tblGrid>
            <w:tr w:rsidR="00D272C1" w:rsidRPr="00342527" w:rsidTr="00D272C1">
              <w:trPr>
                <w:trHeight w:val="461"/>
              </w:trPr>
              <w:tc>
                <w:tcPr>
                  <w:tcW w:w="1695" w:type="dxa"/>
                  <w:tcBorders>
                    <w:bottom w:val="double" w:sz="4" w:space="0" w:color="5B9BD5" w:themeColor="accent1"/>
                  </w:tcBorders>
                </w:tcPr>
                <w:p w:rsidR="00D272C1" w:rsidRPr="00125C87" w:rsidRDefault="00D272C1" w:rsidP="00125C87">
                  <w:pPr>
                    <w:jc w:val="center"/>
                    <w:rPr>
                      <w:rFonts w:ascii="Times New Roman" w:hAnsi="Times New Roman" w:cs="Times New Roman"/>
                      <w:sz w:val="18"/>
                      <w:szCs w:val="18"/>
                    </w:rPr>
                  </w:pPr>
                  <w:r w:rsidRPr="00125C87">
                    <w:rPr>
                      <w:rFonts w:ascii="Times New Roman" w:hAnsi="Times New Roman" w:cs="Times New Roman"/>
                      <w:sz w:val="18"/>
                      <w:szCs w:val="18"/>
                    </w:rPr>
                    <w:lastRenderedPageBreak/>
                    <w:t>Variable</w:t>
                  </w:r>
                </w:p>
              </w:tc>
              <w:tc>
                <w:tcPr>
                  <w:tcW w:w="1561" w:type="dxa"/>
                  <w:tcBorders>
                    <w:bottom w:val="double" w:sz="4" w:space="0" w:color="5B9BD5" w:themeColor="accent1"/>
                  </w:tcBorders>
                </w:tcPr>
                <w:p w:rsidR="00D272C1" w:rsidRPr="00125C87" w:rsidRDefault="00D272C1" w:rsidP="00125C87">
                  <w:pPr>
                    <w:jc w:val="center"/>
                    <w:rPr>
                      <w:rFonts w:ascii="Times New Roman" w:hAnsi="Times New Roman" w:cs="Times New Roman"/>
                      <w:sz w:val="18"/>
                      <w:szCs w:val="18"/>
                    </w:rPr>
                  </w:pPr>
                  <w:r w:rsidRPr="00125C87">
                    <w:rPr>
                      <w:rFonts w:ascii="Times New Roman" w:hAnsi="Times New Roman" w:cs="Times New Roman"/>
                      <w:sz w:val="18"/>
                      <w:szCs w:val="18"/>
                    </w:rPr>
                    <w:t xml:space="preserve">Margen </w:t>
                  </w:r>
                  <w:proofErr w:type="spellStart"/>
                  <w:r w:rsidRPr="00125C87">
                    <w:rPr>
                      <w:rFonts w:ascii="Times New Roman" w:hAnsi="Times New Roman" w:cs="Times New Roman"/>
                      <w:sz w:val="18"/>
                      <w:szCs w:val="18"/>
                    </w:rPr>
                    <w:t>Ebitda</w:t>
                  </w:r>
                  <w:proofErr w:type="spellEnd"/>
                </w:p>
              </w:tc>
              <w:tc>
                <w:tcPr>
                  <w:tcW w:w="1084" w:type="dxa"/>
                  <w:tcBorders>
                    <w:bottom w:val="double" w:sz="4" w:space="0" w:color="5B9BD5" w:themeColor="accent1"/>
                  </w:tcBorders>
                </w:tcPr>
                <w:p w:rsidR="00D272C1" w:rsidRPr="00125C87" w:rsidRDefault="00D272C1" w:rsidP="00125C87">
                  <w:pPr>
                    <w:jc w:val="center"/>
                    <w:rPr>
                      <w:rFonts w:ascii="Times New Roman" w:hAnsi="Times New Roman" w:cs="Times New Roman"/>
                      <w:sz w:val="18"/>
                      <w:szCs w:val="18"/>
                    </w:rPr>
                  </w:pPr>
                  <w:proofErr w:type="spellStart"/>
                  <w:r w:rsidRPr="00125C87">
                    <w:rPr>
                      <w:rFonts w:ascii="Times New Roman" w:hAnsi="Times New Roman" w:cs="Times New Roman"/>
                      <w:sz w:val="18"/>
                      <w:szCs w:val="18"/>
                    </w:rPr>
                    <w:t>Baranes</w:t>
                  </w:r>
                  <w:proofErr w:type="spellEnd"/>
                </w:p>
              </w:tc>
              <w:tc>
                <w:tcPr>
                  <w:tcW w:w="1751" w:type="dxa"/>
                  <w:tcBorders>
                    <w:bottom w:val="double" w:sz="4" w:space="0" w:color="5B9BD5" w:themeColor="accent1"/>
                  </w:tcBorders>
                </w:tcPr>
                <w:p w:rsidR="00D272C1" w:rsidRPr="00125C87" w:rsidRDefault="00D272C1" w:rsidP="00125C87">
                  <w:pPr>
                    <w:jc w:val="center"/>
                    <w:rPr>
                      <w:rFonts w:ascii="Times New Roman" w:hAnsi="Times New Roman" w:cs="Times New Roman"/>
                      <w:sz w:val="18"/>
                      <w:szCs w:val="18"/>
                    </w:rPr>
                  </w:pPr>
                  <w:r w:rsidRPr="00125C87">
                    <w:rPr>
                      <w:rFonts w:ascii="Times New Roman" w:hAnsi="Times New Roman" w:cs="Times New Roman"/>
                      <w:sz w:val="18"/>
                      <w:szCs w:val="18"/>
                    </w:rPr>
                    <w:t>Participación de Mercado</w:t>
                  </w:r>
                </w:p>
              </w:tc>
              <w:tc>
                <w:tcPr>
                  <w:tcW w:w="967" w:type="dxa"/>
                  <w:tcBorders>
                    <w:bottom w:val="double" w:sz="4" w:space="0" w:color="5B9BD5" w:themeColor="accent1"/>
                  </w:tcBorders>
                </w:tcPr>
                <w:p w:rsidR="00D272C1" w:rsidRPr="00125C87" w:rsidRDefault="00D272C1" w:rsidP="00125C87">
                  <w:pPr>
                    <w:jc w:val="center"/>
                    <w:rPr>
                      <w:rFonts w:ascii="Times New Roman" w:hAnsi="Times New Roman" w:cs="Times New Roman"/>
                      <w:sz w:val="18"/>
                      <w:szCs w:val="18"/>
                    </w:rPr>
                  </w:pPr>
                  <w:proofErr w:type="spellStart"/>
                  <w:r w:rsidRPr="00125C87">
                    <w:rPr>
                      <w:rFonts w:ascii="Times New Roman" w:hAnsi="Times New Roman" w:cs="Times New Roman"/>
                      <w:sz w:val="18"/>
                      <w:szCs w:val="18"/>
                    </w:rPr>
                    <w:t>Baranes</w:t>
                  </w:r>
                  <w:proofErr w:type="spellEnd"/>
                </w:p>
              </w:tc>
            </w:tr>
            <w:tr w:rsidR="00D272C1" w:rsidRPr="00342527" w:rsidTr="00D272C1">
              <w:trPr>
                <w:trHeight w:val="508"/>
              </w:trPr>
              <w:tc>
                <w:tcPr>
                  <w:tcW w:w="1695" w:type="dxa"/>
                  <w:tcBorders>
                    <w:top w:val="double" w:sz="4" w:space="0" w:color="5B9BD5" w:themeColor="accent1"/>
                  </w:tcBorders>
                </w:tcPr>
                <w:p w:rsidR="00D272C1" w:rsidRPr="00125C87" w:rsidRDefault="00D272C1" w:rsidP="00D272C1">
                  <w:pPr>
                    <w:rPr>
                      <w:rFonts w:ascii="Times New Roman" w:hAnsi="Times New Roman" w:cs="Times New Roman"/>
                      <w:sz w:val="20"/>
                      <w:szCs w:val="20"/>
                    </w:rPr>
                  </w:pPr>
                  <w:r w:rsidRPr="00125C87">
                    <w:rPr>
                      <w:rFonts w:ascii="Times New Roman" w:hAnsi="Times New Roman" w:cs="Times New Roman"/>
                      <w:sz w:val="20"/>
                      <w:szCs w:val="20"/>
                    </w:rPr>
                    <w:t>PM t-1</w:t>
                  </w:r>
                </w:p>
              </w:tc>
              <w:tc>
                <w:tcPr>
                  <w:tcW w:w="1561" w:type="dxa"/>
                  <w:tcBorders>
                    <w:top w:val="double" w:sz="4" w:space="0" w:color="5B9BD5" w:themeColor="accent1"/>
                  </w:tcBorders>
                </w:tcPr>
                <w:p w:rsidR="00D272C1" w:rsidRPr="00125C87" w:rsidRDefault="00D272C1" w:rsidP="00D272C1">
                  <w:pPr>
                    <w:jc w:val="center"/>
                    <w:rPr>
                      <w:rFonts w:ascii="Times New Roman" w:hAnsi="Times New Roman" w:cs="Times New Roman"/>
                      <w:sz w:val="20"/>
                      <w:szCs w:val="20"/>
                    </w:rPr>
                  </w:pPr>
                  <w:r w:rsidRPr="00125C87">
                    <w:rPr>
                      <w:rFonts w:ascii="Times New Roman" w:hAnsi="Times New Roman" w:cs="Times New Roman"/>
                      <w:sz w:val="20"/>
                      <w:szCs w:val="20"/>
                    </w:rPr>
                    <w:t>-1.038</w:t>
                  </w:r>
                </w:p>
                <w:p w:rsidR="00D272C1" w:rsidRPr="00125C87" w:rsidRDefault="00D272C1" w:rsidP="00D272C1">
                  <w:pPr>
                    <w:jc w:val="center"/>
                    <w:rPr>
                      <w:rFonts w:ascii="Times New Roman" w:hAnsi="Times New Roman" w:cs="Times New Roman"/>
                      <w:sz w:val="20"/>
                      <w:szCs w:val="20"/>
                    </w:rPr>
                  </w:pPr>
                  <w:r w:rsidRPr="00125C87">
                    <w:rPr>
                      <w:rFonts w:ascii="Times New Roman" w:hAnsi="Times New Roman" w:cs="Times New Roman"/>
                      <w:sz w:val="20"/>
                      <w:szCs w:val="20"/>
                    </w:rPr>
                    <w:t>(0.789)</w:t>
                  </w:r>
                </w:p>
              </w:tc>
              <w:tc>
                <w:tcPr>
                  <w:tcW w:w="1084" w:type="dxa"/>
                  <w:tcBorders>
                    <w:top w:val="double" w:sz="4" w:space="0" w:color="5B9BD5" w:themeColor="accent1"/>
                  </w:tcBorders>
                </w:tcPr>
                <w:p w:rsidR="00D272C1" w:rsidRPr="00125C87" w:rsidRDefault="00D272C1" w:rsidP="00D272C1">
                  <w:pPr>
                    <w:rPr>
                      <w:rFonts w:ascii="Times New Roman" w:hAnsi="Times New Roman" w:cs="Times New Roman"/>
                      <w:sz w:val="20"/>
                      <w:szCs w:val="20"/>
                    </w:rPr>
                  </w:pPr>
                </w:p>
              </w:tc>
              <w:tc>
                <w:tcPr>
                  <w:tcW w:w="1751" w:type="dxa"/>
                  <w:tcBorders>
                    <w:top w:val="double" w:sz="4" w:space="0" w:color="5B9BD5" w:themeColor="accent1"/>
                  </w:tcBorders>
                </w:tcPr>
                <w:p w:rsidR="00D272C1" w:rsidRPr="00125C87" w:rsidRDefault="00D272C1" w:rsidP="00D272C1">
                  <w:pPr>
                    <w:jc w:val="center"/>
                    <w:rPr>
                      <w:rFonts w:ascii="Times New Roman" w:hAnsi="Times New Roman" w:cs="Times New Roman"/>
                      <w:sz w:val="20"/>
                      <w:szCs w:val="20"/>
                    </w:rPr>
                  </w:pPr>
                  <w:r w:rsidRPr="00125C87">
                    <w:rPr>
                      <w:rFonts w:ascii="Times New Roman" w:hAnsi="Times New Roman" w:cs="Times New Roman"/>
                      <w:sz w:val="20"/>
                      <w:szCs w:val="20"/>
                    </w:rPr>
                    <w:t>0.794***</w:t>
                  </w:r>
                </w:p>
                <w:p w:rsidR="00D272C1" w:rsidRPr="00125C87" w:rsidRDefault="00D272C1" w:rsidP="00D272C1">
                  <w:pPr>
                    <w:jc w:val="center"/>
                    <w:rPr>
                      <w:rFonts w:ascii="Times New Roman" w:hAnsi="Times New Roman" w:cs="Times New Roman"/>
                      <w:sz w:val="20"/>
                      <w:szCs w:val="20"/>
                    </w:rPr>
                  </w:pPr>
                  <w:r w:rsidRPr="00125C87">
                    <w:rPr>
                      <w:rFonts w:ascii="Times New Roman" w:hAnsi="Times New Roman" w:cs="Times New Roman"/>
                      <w:sz w:val="20"/>
                      <w:szCs w:val="20"/>
                    </w:rPr>
                    <w:t>(0.106)</w:t>
                  </w:r>
                </w:p>
              </w:tc>
              <w:tc>
                <w:tcPr>
                  <w:tcW w:w="967" w:type="dxa"/>
                  <w:tcBorders>
                    <w:top w:val="double" w:sz="4" w:space="0" w:color="5B9BD5" w:themeColor="accent1"/>
                  </w:tcBorders>
                </w:tcPr>
                <w:p w:rsidR="00D272C1" w:rsidRPr="00125C87" w:rsidRDefault="00D272C1" w:rsidP="00D272C1">
                  <w:pPr>
                    <w:rPr>
                      <w:rFonts w:ascii="Times New Roman" w:hAnsi="Times New Roman" w:cs="Times New Roman"/>
                      <w:sz w:val="20"/>
                      <w:szCs w:val="20"/>
                    </w:rPr>
                  </w:pPr>
                  <w:r w:rsidRPr="00125C87">
                    <w:rPr>
                      <w:rFonts w:ascii="Times New Roman" w:hAnsi="Times New Roman" w:cs="Times New Roman"/>
                      <w:sz w:val="20"/>
                      <w:szCs w:val="20"/>
                    </w:rPr>
                    <w:t>*** (+)</w:t>
                  </w:r>
                </w:p>
              </w:tc>
            </w:tr>
            <w:tr w:rsidR="00D272C1" w:rsidRPr="00342527" w:rsidTr="00D272C1">
              <w:trPr>
                <w:trHeight w:val="516"/>
              </w:trPr>
              <w:tc>
                <w:tcPr>
                  <w:tcW w:w="1695" w:type="dxa"/>
                </w:tcPr>
                <w:p w:rsidR="00D272C1" w:rsidRPr="00125C87" w:rsidRDefault="00D272C1" w:rsidP="00D272C1">
                  <w:pPr>
                    <w:rPr>
                      <w:rFonts w:ascii="Times New Roman" w:hAnsi="Times New Roman" w:cs="Times New Roman"/>
                      <w:sz w:val="20"/>
                      <w:szCs w:val="20"/>
                    </w:rPr>
                  </w:pPr>
                  <w:r w:rsidRPr="00125C87">
                    <w:rPr>
                      <w:rFonts w:ascii="Times New Roman" w:hAnsi="Times New Roman" w:cs="Times New Roman"/>
                      <w:sz w:val="20"/>
                      <w:szCs w:val="20"/>
                    </w:rPr>
                    <w:t xml:space="preserve">Mg </w:t>
                  </w:r>
                  <w:proofErr w:type="spellStart"/>
                  <w:r w:rsidRPr="00125C87">
                    <w:rPr>
                      <w:rFonts w:ascii="Times New Roman" w:hAnsi="Times New Roman" w:cs="Times New Roman"/>
                      <w:sz w:val="20"/>
                      <w:szCs w:val="20"/>
                    </w:rPr>
                    <w:t>Ebitda</w:t>
                  </w:r>
                  <w:proofErr w:type="spellEnd"/>
                  <w:r w:rsidRPr="00125C87">
                    <w:rPr>
                      <w:rFonts w:ascii="Times New Roman" w:hAnsi="Times New Roman" w:cs="Times New Roman"/>
                      <w:sz w:val="20"/>
                      <w:szCs w:val="20"/>
                    </w:rPr>
                    <w:t xml:space="preserve"> t-1</w:t>
                  </w:r>
                </w:p>
              </w:tc>
              <w:tc>
                <w:tcPr>
                  <w:tcW w:w="1561" w:type="dxa"/>
                </w:tcPr>
                <w:tbl>
                  <w:tblPr>
                    <w:tblW w:w="1866" w:type="dxa"/>
                    <w:jc w:val="center"/>
                    <w:tblLayout w:type="fixed"/>
                    <w:tblCellMar>
                      <w:left w:w="75" w:type="dxa"/>
                      <w:right w:w="75" w:type="dxa"/>
                    </w:tblCellMar>
                    <w:tblLook w:val="0000" w:firstRow="0" w:lastRow="0" w:firstColumn="0" w:lastColumn="0" w:noHBand="0" w:noVBand="0"/>
                  </w:tblPr>
                  <w:tblGrid>
                    <w:gridCol w:w="1866"/>
                  </w:tblGrid>
                  <w:tr w:rsidR="00D272C1" w:rsidRPr="00125C87" w:rsidTr="00D272C1">
                    <w:trPr>
                      <w:trHeight w:val="261"/>
                      <w:jc w:val="center"/>
                    </w:trPr>
                    <w:tc>
                      <w:tcPr>
                        <w:tcW w:w="1866" w:type="dxa"/>
                        <w:tcBorders>
                          <w:top w:val="nil"/>
                          <w:left w:val="nil"/>
                          <w:bottom w:val="nil"/>
                          <w:right w:val="nil"/>
                        </w:tcBorders>
                      </w:tcPr>
                      <w:p w:rsidR="00D272C1" w:rsidRPr="00125C87" w:rsidRDefault="00D272C1" w:rsidP="00D272C1">
                        <w:pPr>
                          <w:widowControl w:val="0"/>
                          <w:autoSpaceDE w:val="0"/>
                          <w:autoSpaceDN w:val="0"/>
                          <w:adjustRightInd w:val="0"/>
                          <w:spacing w:after="0" w:line="240" w:lineRule="auto"/>
                          <w:jc w:val="center"/>
                          <w:rPr>
                            <w:rFonts w:ascii="Times New Roman" w:hAnsi="Times New Roman" w:cs="Times New Roman"/>
                            <w:sz w:val="20"/>
                            <w:szCs w:val="20"/>
                          </w:rPr>
                        </w:pPr>
                        <w:r w:rsidRPr="00125C87">
                          <w:rPr>
                            <w:rFonts w:ascii="Times New Roman" w:hAnsi="Times New Roman" w:cs="Times New Roman"/>
                            <w:sz w:val="20"/>
                            <w:szCs w:val="20"/>
                          </w:rPr>
                          <w:t>0.207</w:t>
                        </w:r>
                      </w:p>
                    </w:tc>
                  </w:tr>
                  <w:tr w:rsidR="00D272C1" w:rsidRPr="00125C87" w:rsidTr="00D272C1">
                    <w:trPr>
                      <w:trHeight w:val="247"/>
                      <w:jc w:val="center"/>
                    </w:trPr>
                    <w:tc>
                      <w:tcPr>
                        <w:tcW w:w="1866" w:type="dxa"/>
                        <w:tcBorders>
                          <w:top w:val="nil"/>
                          <w:left w:val="nil"/>
                          <w:bottom w:val="nil"/>
                          <w:right w:val="nil"/>
                        </w:tcBorders>
                      </w:tcPr>
                      <w:p w:rsidR="00D272C1" w:rsidRPr="00125C87" w:rsidRDefault="00D272C1" w:rsidP="00D272C1">
                        <w:pPr>
                          <w:widowControl w:val="0"/>
                          <w:autoSpaceDE w:val="0"/>
                          <w:autoSpaceDN w:val="0"/>
                          <w:adjustRightInd w:val="0"/>
                          <w:spacing w:after="0" w:line="240" w:lineRule="auto"/>
                          <w:jc w:val="center"/>
                          <w:rPr>
                            <w:rFonts w:ascii="Times New Roman" w:hAnsi="Times New Roman" w:cs="Times New Roman"/>
                            <w:sz w:val="20"/>
                            <w:szCs w:val="20"/>
                          </w:rPr>
                        </w:pPr>
                        <w:r w:rsidRPr="00125C87">
                          <w:rPr>
                            <w:rFonts w:ascii="Times New Roman" w:hAnsi="Times New Roman" w:cs="Times New Roman"/>
                            <w:sz w:val="20"/>
                            <w:szCs w:val="20"/>
                          </w:rPr>
                          <w:t>(0.218)</w:t>
                        </w:r>
                      </w:p>
                    </w:tc>
                  </w:tr>
                </w:tbl>
                <w:p w:rsidR="00D272C1" w:rsidRPr="00125C87" w:rsidRDefault="00D272C1" w:rsidP="00D272C1">
                  <w:pPr>
                    <w:jc w:val="center"/>
                    <w:rPr>
                      <w:rFonts w:ascii="Times New Roman" w:hAnsi="Times New Roman" w:cs="Times New Roman"/>
                      <w:sz w:val="20"/>
                      <w:szCs w:val="20"/>
                    </w:rPr>
                  </w:pPr>
                </w:p>
              </w:tc>
              <w:tc>
                <w:tcPr>
                  <w:tcW w:w="1084" w:type="dxa"/>
                </w:tcPr>
                <w:p w:rsidR="00D272C1" w:rsidRPr="00125C87" w:rsidRDefault="00D272C1" w:rsidP="00D272C1">
                  <w:pPr>
                    <w:jc w:val="center"/>
                    <w:rPr>
                      <w:rFonts w:ascii="Times New Roman" w:hAnsi="Times New Roman" w:cs="Times New Roman"/>
                      <w:sz w:val="20"/>
                      <w:szCs w:val="20"/>
                    </w:rPr>
                  </w:pPr>
                  <w:r w:rsidRPr="00125C87">
                    <w:rPr>
                      <w:rFonts w:ascii="Times New Roman" w:hAnsi="Times New Roman" w:cs="Times New Roman"/>
                      <w:sz w:val="20"/>
                      <w:szCs w:val="20"/>
                    </w:rPr>
                    <w:t>*** (+)</w:t>
                  </w:r>
                </w:p>
              </w:tc>
              <w:tc>
                <w:tcPr>
                  <w:tcW w:w="1751" w:type="dxa"/>
                </w:tcPr>
                <w:p w:rsidR="00D272C1" w:rsidRPr="00125C87" w:rsidRDefault="00D272C1" w:rsidP="00D272C1">
                  <w:pPr>
                    <w:jc w:val="center"/>
                    <w:rPr>
                      <w:rFonts w:ascii="Times New Roman" w:hAnsi="Times New Roman" w:cs="Times New Roman"/>
                      <w:sz w:val="20"/>
                      <w:szCs w:val="20"/>
                    </w:rPr>
                  </w:pPr>
                  <w:r w:rsidRPr="00125C87">
                    <w:rPr>
                      <w:rFonts w:ascii="Times New Roman" w:hAnsi="Times New Roman" w:cs="Times New Roman"/>
                      <w:sz w:val="20"/>
                      <w:szCs w:val="20"/>
                    </w:rPr>
                    <w:t>-0.0202</w:t>
                  </w:r>
                </w:p>
                <w:p w:rsidR="00D272C1" w:rsidRPr="00125C87" w:rsidRDefault="00D272C1" w:rsidP="00D272C1">
                  <w:pPr>
                    <w:jc w:val="center"/>
                    <w:rPr>
                      <w:rFonts w:ascii="Times New Roman" w:hAnsi="Times New Roman" w:cs="Times New Roman"/>
                      <w:sz w:val="20"/>
                      <w:szCs w:val="20"/>
                    </w:rPr>
                  </w:pPr>
                  <w:r w:rsidRPr="00125C87">
                    <w:rPr>
                      <w:rFonts w:ascii="Times New Roman" w:hAnsi="Times New Roman" w:cs="Times New Roman"/>
                      <w:sz w:val="20"/>
                      <w:szCs w:val="20"/>
                    </w:rPr>
                    <w:t>(0.0191)</w:t>
                  </w:r>
                </w:p>
              </w:tc>
              <w:tc>
                <w:tcPr>
                  <w:tcW w:w="967" w:type="dxa"/>
                </w:tcPr>
                <w:p w:rsidR="00D272C1" w:rsidRPr="00125C87" w:rsidRDefault="00D272C1" w:rsidP="00D272C1">
                  <w:pPr>
                    <w:rPr>
                      <w:rFonts w:ascii="Times New Roman" w:hAnsi="Times New Roman" w:cs="Times New Roman"/>
                      <w:sz w:val="20"/>
                      <w:szCs w:val="20"/>
                    </w:rPr>
                  </w:pPr>
                </w:p>
              </w:tc>
            </w:tr>
            <w:tr w:rsidR="00D272C1" w:rsidRPr="00342527" w:rsidTr="00D272C1">
              <w:trPr>
                <w:trHeight w:val="522"/>
              </w:trPr>
              <w:tc>
                <w:tcPr>
                  <w:tcW w:w="1695" w:type="dxa"/>
                </w:tcPr>
                <w:p w:rsidR="00D272C1" w:rsidRPr="00125C87" w:rsidRDefault="00D272C1" w:rsidP="00D272C1">
                  <w:pPr>
                    <w:rPr>
                      <w:rFonts w:ascii="Times New Roman" w:hAnsi="Times New Roman" w:cs="Times New Roman"/>
                      <w:sz w:val="20"/>
                      <w:szCs w:val="20"/>
                    </w:rPr>
                  </w:pPr>
                  <w:r w:rsidRPr="00125C87">
                    <w:rPr>
                      <w:rFonts w:ascii="Times New Roman" w:hAnsi="Times New Roman" w:cs="Times New Roman"/>
                      <w:sz w:val="20"/>
                      <w:szCs w:val="20"/>
                    </w:rPr>
                    <w:t>AR</w:t>
                  </w:r>
                </w:p>
              </w:tc>
              <w:tc>
                <w:tcPr>
                  <w:tcW w:w="1561" w:type="dxa"/>
                </w:tcPr>
                <w:tbl>
                  <w:tblPr>
                    <w:tblW w:w="1866" w:type="dxa"/>
                    <w:jc w:val="center"/>
                    <w:tblLayout w:type="fixed"/>
                    <w:tblCellMar>
                      <w:left w:w="75" w:type="dxa"/>
                      <w:right w:w="75" w:type="dxa"/>
                    </w:tblCellMar>
                    <w:tblLook w:val="0000" w:firstRow="0" w:lastRow="0" w:firstColumn="0" w:lastColumn="0" w:noHBand="0" w:noVBand="0"/>
                  </w:tblPr>
                  <w:tblGrid>
                    <w:gridCol w:w="1866"/>
                  </w:tblGrid>
                  <w:tr w:rsidR="00D272C1" w:rsidRPr="00125C87" w:rsidTr="00D272C1">
                    <w:trPr>
                      <w:trHeight w:val="261"/>
                      <w:jc w:val="center"/>
                    </w:trPr>
                    <w:tc>
                      <w:tcPr>
                        <w:tcW w:w="1866" w:type="dxa"/>
                        <w:tcBorders>
                          <w:top w:val="nil"/>
                          <w:left w:val="nil"/>
                          <w:bottom w:val="nil"/>
                          <w:right w:val="nil"/>
                        </w:tcBorders>
                      </w:tcPr>
                      <w:p w:rsidR="00D272C1" w:rsidRPr="00125C87" w:rsidRDefault="00D272C1" w:rsidP="00D272C1">
                        <w:pPr>
                          <w:widowControl w:val="0"/>
                          <w:autoSpaceDE w:val="0"/>
                          <w:autoSpaceDN w:val="0"/>
                          <w:adjustRightInd w:val="0"/>
                          <w:spacing w:after="0" w:line="240" w:lineRule="auto"/>
                          <w:jc w:val="center"/>
                          <w:rPr>
                            <w:rFonts w:ascii="Times New Roman" w:hAnsi="Times New Roman" w:cs="Times New Roman"/>
                            <w:sz w:val="20"/>
                            <w:szCs w:val="20"/>
                          </w:rPr>
                        </w:pPr>
                        <w:r w:rsidRPr="00125C87">
                          <w:rPr>
                            <w:rFonts w:ascii="Times New Roman" w:hAnsi="Times New Roman" w:cs="Times New Roman"/>
                            <w:sz w:val="20"/>
                            <w:szCs w:val="20"/>
                          </w:rPr>
                          <w:t>0.0423</w:t>
                        </w:r>
                      </w:p>
                    </w:tc>
                  </w:tr>
                  <w:tr w:rsidR="00D272C1" w:rsidRPr="00125C87" w:rsidTr="00D272C1">
                    <w:trPr>
                      <w:trHeight w:val="247"/>
                      <w:jc w:val="center"/>
                    </w:trPr>
                    <w:tc>
                      <w:tcPr>
                        <w:tcW w:w="1866" w:type="dxa"/>
                        <w:tcBorders>
                          <w:top w:val="nil"/>
                          <w:left w:val="nil"/>
                          <w:bottom w:val="nil"/>
                          <w:right w:val="nil"/>
                        </w:tcBorders>
                      </w:tcPr>
                      <w:p w:rsidR="00D272C1" w:rsidRPr="00125C87" w:rsidRDefault="00D272C1" w:rsidP="00D272C1">
                        <w:pPr>
                          <w:widowControl w:val="0"/>
                          <w:autoSpaceDE w:val="0"/>
                          <w:autoSpaceDN w:val="0"/>
                          <w:adjustRightInd w:val="0"/>
                          <w:spacing w:after="0" w:line="240" w:lineRule="auto"/>
                          <w:jc w:val="center"/>
                          <w:rPr>
                            <w:rFonts w:ascii="Times New Roman" w:hAnsi="Times New Roman" w:cs="Times New Roman"/>
                            <w:sz w:val="20"/>
                            <w:szCs w:val="20"/>
                          </w:rPr>
                        </w:pPr>
                        <w:r w:rsidRPr="00125C87">
                          <w:rPr>
                            <w:rFonts w:ascii="Times New Roman" w:hAnsi="Times New Roman" w:cs="Times New Roman"/>
                            <w:sz w:val="20"/>
                            <w:szCs w:val="20"/>
                          </w:rPr>
                          <w:t>(0.0300)</w:t>
                        </w:r>
                      </w:p>
                    </w:tc>
                  </w:tr>
                </w:tbl>
                <w:p w:rsidR="00D272C1" w:rsidRPr="00125C87" w:rsidRDefault="00D272C1" w:rsidP="00D272C1">
                  <w:pPr>
                    <w:jc w:val="center"/>
                    <w:rPr>
                      <w:rFonts w:ascii="Times New Roman" w:hAnsi="Times New Roman" w:cs="Times New Roman"/>
                      <w:sz w:val="20"/>
                      <w:szCs w:val="20"/>
                    </w:rPr>
                  </w:pPr>
                </w:p>
              </w:tc>
              <w:tc>
                <w:tcPr>
                  <w:tcW w:w="1084" w:type="dxa"/>
                </w:tcPr>
                <w:p w:rsidR="00D272C1" w:rsidRPr="00125C87" w:rsidRDefault="00D272C1" w:rsidP="00D272C1">
                  <w:pPr>
                    <w:widowControl w:val="0"/>
                    <w:autoSpaceDE w:val="0"/>
                    <w:autoSpaceDN w:val="0"/>
                    <w:adjustRightInd w:val="0"/>
                    <w:jc w:val="center"/>
                    <w:rPr>
                      <w:rFonts w:ascii="Times New Roman" w:hAnsi="Times New Roman" w:cs="Times New Roman"/>
                      <w:sz w:val="20"/>
                      <w:szCs w:val="20"/>
                    </w:rPr>
                  </w:pPr>
                  <w:r w:rsidRPr="00125C87">
                    <w:rPr>
                      <w:rFonts w:ascii="Times New Roman" w:hAnsi="Times New Roman" w:cs="Times New Roman"/>
                      <w:sz w:val="20"/>
                      <w:szCs w:val="20"/>
                    </w:rPr>
                    <w:t>*** (+)</w:t>
                  </w:r>
                </w:p>
              </w:tc>
              <w:tc>
                <w:tcPr>
                  <w:tcW w:w="1751" w:type="dxa"/>
                </w:tcPr>
                <w:p w:rsidR="00D272C1" w:rsidRPr="00125C87" w:rsidRDefault="00D272C1" w:rsidP="00D272C1">
                  <w:pPr>
                    <w:jc w:val="center"/>
                    <w:rPr>
                      <w:rFonts w:ascii="Times New Roman" w:hAnsi="Times New Roman" w:cs="Times New Roman"/>
                      <w:sz w:val="20"/>
                      <w:szCs w:val="20"/>
                    </w:rPr>
                  </w:pPr>
                  <w:r w:rsidRPr="00125C87">
                    <w:rPr>
                      <w:rFonts w:ascii="Times New Roman" w:hAnsi="Times New Roman" w:cs="Times New Roman"/>
                      <w:sz w:val="20"/>
                      <w:szCs w:val="20"/>
                    </w:rPr>
                    <w:t>1.44e-06</w:t>
                  </w:r>
                </w:p>
                <w:p w:rsidR="00D272C1" w:rsidRPr="00125C87" w:rsidRDefault="00D272C1" w:rsidP="00D272C1">
                  <w:pPr>
                    <w:jc w:val="center"/>
                    <w:rPr>
                      <w:rFonts w:ascii="Times New Roman" w:hAnsi="Times New Roman" w:cs="Times New Roman"/>
                      <w:sz w:val="20"/>
                      <w:szCs w:val="20"/>
                    </w:rPr>
                  </w:pPr>
                  <w:r w:rsidRPr="00125C87">
                    <w:rPr>
                      <w:rFonts w:ascii="Times New Roman" w:hAnsi="Times New Roman" w:cs="Times New Roman"/>
                      <w:sz w:val="20"/>
                      <w:szCs w:val="20"/>
                    </w:rPr>
                    <w:t>(2.15e-06)</w:t>
                  </w:r>
                </w:p>
              </w:tc>
              <w:tc>
                <w:tcPr>
                  <w:tcW w:w="967" w:type="dxa"/>
                </w:tcPr>
                <w:p w:rsidR="00D272C1" w:rsidRPr="00125C87" w:rsidRDefault="00D272C1" w:rsidP="00D272C1">
                  <w:pPr>
                    <w:rPr>
                      <w:rFonts w:ascii="Times New Roman" w:hAnsi="Times New Roman" w:cs="Times New Roman"/>
                      <w:sz w:val="20"/>
                      <w:szCs w:val="20"/>
                    </w:rPr>
                  </w:pPr>
                </w:p>
              </w:tc>
            </w:tr>
            <w:tr w:rsidR="00D272C1" w:rsidRPr="00342527" w:rsidTr="00D272C1">
              <w:trPr>
                <w:trHeight w:val="756"/>
              </w:trPr>
              <w:tc>
                <w:tcPr>
                  <w:tcW w:w="1695" w:type="dxa"/>
                </w:tcPr>
                <w:p w:rsidR="00D272C1" w:rsidRPr="00125C87" w:rsidRDefault="00D272C1" w:rsidP="00635A0D">
                  <w:pPr>
                    <w:rPr>
                      <w:rFonts w:ascii="Times New Roman" w:hAnsi="Times New Roman" w:cs="Times New Roman"/>
                      <w:sz w:val="20"/>
                      <w:szCs w:val="20"/>
                    </w:rPr>
                  </w:pPr>
                  <w:proofErr w:type="spellStart"/>
                  <w:r w:rsidRPr="00125C87">
                    <w:rPr>
                      <w:rFonts w:ascii="Times New Roman" w:hAnsi="Times New Roman" w:cs="Times New Roman"/>
                      <w:sz w:val="20"/>
                      <w:szCs w:val="20"/>
                    </w:rPr>
                    <w:t>T</w:t>
                  </w:r>
                  <w:r w:rsidR="00635A0D">
                    <w:rPr>
                      <w:rFonts w:ascii="Times New Roman" w:hAnsi="Times New Roman" w:cs="Times New Roman"/>
                      <w:sz w:val="20"/>
                      <w:szCs w:val="20"/>
                    </w:rPr>
                    <w:t>tm_preponde-rante</w:t>
                  </w:r>
                  <w:proofErr w:type="spellEnd"/>
                </w:p>
              </w:tc>
              <w:tc>
                <w:tcPr>
                  <w:tcW w:w="1561" w:type="dxa"/>
                </w:tcPr>
                <w:tbl>
                  <w:tblPr>
                    <w:tblW w:w="1519" w:type="dxa"/>
                    <w:jc w:val="center"/>
                    <w:tblLayout w:type="fixed"/>
                    <w:tblCellMar>
                      <w:left w:w="75" w:type="dxa"/>
                      <w:right w:w="75" w:type="dxa"/>
                    </w:tblCellMar>
                    <w:tblLook w:val="0000" w:firstRow="0" w:lastRow="0" w:firstColumn="0" w:lastColumn="0" w:noHBand="0" w:noVBand="0"/>
                  </w:tblPr>
                  <w:tblGrid>
                    <w:gridCol w:w="1519"/>
                  </w:tblGrid>
                  <w:tr w:rsidR="00D272C1" w:rsidRPr="00125C87" w:rsidTr="00D272C1">
                    <w:trPr>
                      <w:trHeight w:val="238"/>
                      <w:jc w:val="center"/>
                    </w:trPr>
                    <w:tc>
                      <w:tcPr>
                        <w:tcW w:w="1519" w:type="dxa"/>
                        <w:tcBorders>
                          <w:top w:val="nil"/>
                          <w:left w:val="nil"/>
                          <w:bottom w:val="nil"/>
                          <w:right w:val="nil"/>
                        </w:tcBorders>
                      </w:tcPr>
                      <w:p w:rsidR="00D272C1" w:rsidRPr="00125C87" w:rsidRDefault="00D272C1" w:rsidP="00D272C1">
                        <w:pPr>
                          <w:widowControl w:val="0"/>
                          <w:autoSpaceDE w:val="0"/>
                          <w:autoSpaceDN w:val="0"/>
                          <w:adjustRightInd w:val="0"/>
                          <w:spacing w:after="0" w:line="240" w:lineRule="auto"/>
                          <w:jc w:val="center"/>
                          <w:rPr>
                            <w:rFonts w:ascii="Times New Roman" w:hAnsi="Times New Roman" w:cs="Times New Roman"/>
                            <w:sz w:val="20"/>
                            <w:szCs w:val="20"/>
                          </w:rPr>
                        </w:pPr>
                        <w:r w:rsidRPr="00125C87">
                          <w:rPr>
                            <w:rFonts w:ascii="Times New Roman" w:hAnsi="Times New Roman" w:cs="Times New Roman"/>
                            <w:sz w:val="20"/>
                            <w:szCs w:val="20"/>
                          </w:rPr>
                          <w:t>139.7**</w:t>
                        </w:r>
                      </w:p>
                    </w:tc>
                  </w:tr>
                  <w:tr w:rsidR="00D272C1" w:rsidRPr="00125C87" w:rsidTr="00D272C1">
                    <w:trPr>
                      <w:trHeight w:val="251"/>
                      <w:jc w:val="center"/>
                    </w:trPr>
                    <w:tc>
                      <w:tcPr>
                        <w:tcW w:w="1519" w:type="dxa"/>
                        <w:tcBorders>
                          <w:top w:val="nil"/>
                          <w:left w:val="nil"/>
                          <w:bottom w:val="nil"/>
                          <w:right w:val="nil"/>
                        </w:tcBorders>
                      </w:tcPr>
                      <w:p w:rsidR="00D272C1" w:rsidRPr="00125C87" w:rsidRDefault="00D272C1" w:rsidP="00D272C1">
                        <w:pPr>
                          <w:widowControl w:val="0"/>
                          <w:autoSpaceDE w:val="0"/>
                          <w:autoSpaceDN w:val="0"/>
                          <w:adjustRightInd w:val="0"/>
                          <w:spacing w:after="0" w:line="240" w:lineRule="auto"/>
                          <w:jc w:val="center"/>
                          <w:rPr>
                            <w:rFonts w:ascii="Times New Roman" w:hAnsi="Times New Roman" w:cs="Times New Roman"/>
                            <w:sz w:val="20"/>
                            <w:szCs w:val="20"/>
                          </w:rPr>
                        </w:pPr>
                        <w:r w:rsidRPr="00125C87">
                          <w:rPr>
                            <w:rFonts w:ascii="Times New Roman" w:hAnsi="Times New Roman" w:cs="Times New Roman"/>
                            <w:sz w:val="20"/>
                            <w:szCs w:val="20"/>
                          </w:rPr>
                          <w:t xml:space="preserve"> (68.19)</w:t>
                        </w:r>
                      </w:p>
                    </w:tc>
                  </w:tr>
                </w:tbl>
                <w:p w:rsidR="00D272C1" w:rsidRPr="00125C87" w:rsidRDefault="00D272C1" w:rsidP="00D272C1">
                  <w:pPr>
                    <w:jc w:val="center"/>
                    <w:rPr>
                      <w:rFonts w:ascii="Times New Roman" w:hAnsi="Times New Roman" w:cs="Times New Roman"/>
                      <w:sz w:val="20"/>
                      <w:szCs w:val="20"/>
                    </w:rPr>
                  </w:pPr>
                </w:p>
              </w:tc>
              <w:tc>
                <w:tcPr>
                  <w:tcW w:w="1084" w:type="dxa"/>
                </w:tcPr>
                <w:p w:rsidR="00D272C1" w:rsidRPr="00125C87" w:rsidRDefault="00D272C1" w:rsidP="00D272C1">
                  <w:pPr>
                    <w:widowControl w:val="0"/>
                    <w:autoSpaceDE w:val="0"/>
                    <w:autoSpaceDN w:val="0"/>
                    <w:adjustRightInd w:val="0"/>
                    <w:jc w:val="center"/>
                    <w:rPr>
                      <w:rFonts w:ascii="Times New Roman" w:hAnsi="Times New Roman" w:cs="Times New Roman"/>
                      <w:sz w:val="20"/>
                      <w:szCs w:val="20"/>
                    </w:rPr>
                  </w:pPr>
                </w:p>
              </w:tc>
              <w:tc>
                <w:tcPr>
                  <w:tcW w:w="1751" w:type="dxa"/>
                </w:tcPr>
                <w:p w:rsidR="00D272C1" w:rsidRPr="00125C87" w:rsidRDefault="00D272C1" w:rsidP="00D272C1">
                  <w:pPr>
                    <w:jc w:val="center"/>
                    <w:rPr>
                      <w:rFonts w:ascii="Times New Roman" w:hAnsi="Times New Roman" w:cs="Times New Roman"/>
                      <w:sz w:val="20"/>
                      <w:szCs w:val="20"/>
                    </w:rPr>
                  </w:pPr>
                  <w:r w:rsidRPr="00125C87">
                    <w:rPr>
                      <w:rFonts w:ascii="Times New Roman" w:hAnsi="Times New Roman" w:cs="Times New Roman"/>
                      <w:sz w:val="20"/>
                      <w:szCs w:val="20"/>
                    </w:rPr>
                    <w:t>2.620</w:t>
                  </w:r>
                </w:p>
                <w:p w:rsidR="00D272C1" w:rsidRPr="00125C87" w:rsidRDefault="00D272C1" w:rsidP="00D272C1">
                  <w:pPr>
                    <w:jc w:val="center"/>
                    <w:rPr>
                      <w:rFonts w:ascii="Times New Roman" w:hAnsi="Times New Roman" w:cs="Times New Roman"/>
                      <w:sz w:val="20"/>
                      <w:szCs w:val="20"/>
                    </w:rPr>
                  </w:pPr>
                  <w:r w:rsidRPr="00125C87">
                    <w:rPr>
                      <w:rFonts w:ascii="Times New Roman" w:hAnsi="Times New Roman" w:cs="Times New Roman"/>
                      <w:sz w:val="20"/>
                      <w:szCs w:val="20"/>
                    </w:rPr>
                    <w:t>(7.098)</w:t>
                  </w:r>
                </w:p>
              </w:tc>
              <w:tc>
                <w:tcPr>
                  <w:tcW w:w="967" w:type="dxa"/>
                </w:tcPr>
                <w:p w:rsidR="00D272C1" w:rsidRPr="00125C87" w:rsidRDefault="00D272C1" w:rsidP="00D272C1">
                  <w:pPr>
                    <w:rPr>
                      <w:rFonts w:ascii="Times New Roman" w:hAnsi="Times New Roman" w:cs="Times New Roman"/>
                      <w:sz w:val="20"/>
                      <w:szCs w:val="20"/>
                    </w:rPr>
                  </w:pPr>
                </w:p>
              </w:tc>
            </w:tr>
            <w:tr w:rsidR="00D272C1" w:rsidRPr="00342527" w:rsidTr="00D272C1">
              <w:trPr>
                <w:trHeight w:val="254"/>
              </w:trPr>
              <w:tc>
                <w:tcPr>
                  <w:tcW w:w="1695" w:type="dxa"/>
                </w:tcPr>
                <w:p w:rsidR="00D272C1" w:rsidRPr="00125C87" w:rsidRDefault="00D272C1" w:rsidP="00D272C1">
                  <w:pPr>
                    <w:rPr>
                      <w:rFonts w:ascii="Times New Roman" w:hAnsi="Times New Roman" w:cs="Times New Roman"/>
                      <w:sz w:val="20"/>
                      <w:szCs w:val="20"/>
                    </w:rPr>
                  </w:pPr>
                  <w:r w:rsidRPr="00125C87">
                    <w:rPr>
                      <w:rFonts w:ascii="Times New Roman" w:hAnsi="Times New Roman" w:cs="Times New Roman"/>
                      <w:sz w:val="20"/>
                      <w:szCs w:val="20"/>
                    </w:rPr>
                    <w:t>Observaciones</w:t>
                  </w:r>
                </w:p>
              </w:tc>
              <w:tc>
                <w:tcPr>
                  <w:tcW w:w="1561" w:type="dxa"/>
                </w:tcPr>
                <w:p w:rsidR="00D272C1" w:rsidRPr="00125C87" w:rsidRDefault="00D272C1" w:rsidP="00D272C1">
                  <w:pPr>
                    <w:jc w:val="center"/>
                    <w:rPr>
                      <w:rFonts w:ascii="Times New Roman" w:hAnsi="Times New Roman" w:cs="Times New Roman"/>
                      <w:sz w:val="20"/>
                      <w:szCs w:val="20"/>
                    </w:rPr>
                  </w:pPr>
                  <w:r w:rsidRPr="00125C87">
                    <w:rPr>
                      <w:rFonts w:ascii="Times New Roman" w:hAnsi="Times New Roman" w:cs="Times New Roman"/>
                      <w:sz w:val="20"/>
                      <w:szCs w:val="20"/>
                    </w:rPr>
                    <w:t>40</w:t>
                  </w:r>
                </w:p>
              </w:tc>
              <w:tc>
                <w:tcPr>
                  <w:tcW w:w="1084" w:type="dxa"/>
                </w:tcPr>
                <w:p w:rsidR="00D272C1" w:rsidRPr="00125C87" w:rsidRDefault="00D272C1" w:rsidP="00D272C1">
                  <w:pPr>
                    <w:rPr>
                      <w:rFonts w:ascii="Times New Roman" w:hAnsi="Times New Roman" w:cs="Times New Roman"/>
                      <w:sz w:val="20"/>
                      <w:szCs w:val="20"/>
                    </w:rPr>
                  </w:pPr>
                </w:p>
              </w:tc>
              <w:tc>
                <w:tcPr>
                  <w:tcW w:w="1751" w:type="dxa"/>
                </w:tcPr>
                <w:p w:rsidR="00D272C1" w:rsidRPr="00125C87" w:rsidRDefault="00D272C1" w:rsidP="00D272C1">
                  <w:pPr>
                    <w:jc w:val="center"/>
                    <w:rPr>
                      <w:rFonts w:ascii="Times New Roman" w:hAnsi="Times New Roman" w:cs="Times New Roman"/>
                      <w:sz w:val="20"/>
                      <w:szCs w:val="20"/>
                    </w:rPr>
                  </w:pPr>
                  <w:r w:rsidRPr="00125C87">
                    <w:rPr>
                      <w:rFonts w:ascii="Times New Roman" w:hAnsi="Times New Roman" w:cs="Times New Roman"/>
                      <w:sz w:val="20"/>
                      <w:szCs w:val="20"/>
                    </w:rPr>
                    <w:t>40</w:t>
                  </w:r>
                </w:p>
              </w:tc>
              <w:tc>
                <w:tcPr>
                  <w:tcW w:w="967" w:type="dxa"/>
                </w:tcPr>
                <w:p w:rsidR="00D272C1" w:rsidRPr="00125C87" w:rsidRDefault="00D272C1" w:rsidP="00D272C1">
                  <w:pPr>
                    <w:rPr>
                      <w:rFonts w:ascii="Times New Roman" w:hAnsi="Times New Roman" w:cs="Times New Roman"/>
                      <w:sz w:val="20"/>
                      <w:szCs w:val="20"/>
                    </w:rPr>
                  </w:pPr>
                </w:p>
              </w:tc>
            </w:tr>
            <w:tr w:rsidR="00D272C1" w:rsidRPr="00342527" w:rsidTr="00D272C1">
              <w:trPr>
                <w:trHeight w:val="516"/>
              </w:trPr>
              <w:tc>
                <w:tcPr>
                  <w:tcW w:w="1695" w:type="dxa"/>
                </w:tcPr>
                <w:p w:rsidR="00D272C1" w:rsidRPr="00125C87" w:rsidRDefault="00D272C1" w:rsidP="00D272C1">
                  <w:pPr>
                    <w:widowControl w:val="0"/>
                    <w:autoSpaceDE w:val="0"/>
                    <w:autoSpaceDN w:val="0"/>
                    <w:adjustRightInd w:val="0"/>
                    <w:rPr>
                      <w:rFonts w:ascii="Times New Roman" w:hAnsi="Times New Roman" w:cs="Times New Roman"/>
                      <w:sz w:val="20"/>
                      <w:szCs w:val="20"/>
                    </w:rPr>
                  </w:pPr>
                  <w:r w:rsidRPr="00125C87">
                    <w:rPr>
                      <w:rFonts w:ascii="Times New Roman" w:hAnsi="Times New Roman" w:cs="Times New Roman"/>
                      <w:sz w:val="20"/>
                      <w:szCs w:val="20"/>
                    </w:rPr>
                    <w:t>R-cuadrada</w:t>
                  </w:r>
                </w:p>
                <w:p w:rsidR="00D272C1" w:rsidRPr="00125C87" w:rsidRDefault="00D272C1" w:rsidP="00D272C1">
                  <w:pPr>
                    <w:rPr>
                      <w:rFonts w:ascii="Times New Roman" w:hAnsi="Times New Roman" w:cs="Times New Roman"/>
                      <w:sz w:val="20"/>
                      <w:szCs w:val="20"/>
                    </w:rPr>
                  </w:pPr>
                </w:p>
              </w:tc>
              <w:tc>
                <w:tcPr>
                  <w:tcW w:w="1561" w:type="dxa"/>
                </w:tcPr>
                <w:p w:rsidR="00D272C1" w:rsidRPr="00125C87" w:rsidRDefault="00D272C1" w:rsidP="00D272C1">
                  <w:pPr>
                    <w:widowControl w:val="0"/>
                    <w:autoSpaceDE w:val="0"/>
                    <w:autoSpaceDN w:val="0"/>
                    <w:adjustRightInd w:val="0"/>
                    <w:jc w:val="center"/>
                    <w:rPr>
                      <w:rFonts w:ascii="Times New Roman" w:hAnsi="Times New Roman" w:cs="Times New Roman"/>
                      <w:sz w:val="20"/>
                      <w:szCs w:val="20"/>
                    </w:rPr>
                  </w:pPr>
                  <w:r w:rsidRPr="00125C87">
                    <w:rPr>
                      <w:rFonts w:ascii="Times New Roman" w:hAnsi="Times New Roman" w:cs="Times New Roman"/>
                      <w:sz w:val="20"/>
                      <w:szCs w:val="20"/>
                    </w:rPr>
                    <w:t>0.430</w:t>
                  </w:r>
                </w:p>
                <w:p w:rsidR="00D272C1" w:rsidRPr="00125C87" w:rsidRDefault="00D272C1" w:rsidP="00D272C1">
                  <w:pPr>
                    <w:jc w:val="center"/>
                    <w:rPr>
                      <w:rFonts w:ascii="Times New Roman" w:hAnsi="Times New Roman" w:cs="Times New Roman"/>
                      <w:sz w:val="20"/>
                      <w:szCs w:val="20"/>
                    </w:rPr>
                  </w:pPr>
                </w:p>
              </w:tc>
              <w:tc>
                <w:tcPr>
                  <w:tcW w:w="1084" w:type="dxa"/>
                </w:tcPr>
                <w:p w:rsidR="00D272C1" w:rsidRPr="00125C87" w:rsidRDefault="00D272C1" w:rsidP="00D272C1">
                  <w:pPr>
                    <w:jc w:val="center"/>
                    <w:rPr>
                      <w:rFonts w:ascii="Times New Roman" w:hAnsi="Times New Roman" w:cs="Times New Roman"/>
                      <w:sz w:val="20"/>
                      <w:szCs w:val="20"/>
                    </w:rPr>
                  </w:pPr>
                </w:p>
              </w:tc>
              <w:tc>
                <w:tcPr>
                  <w:tcW w:w="1751" w:type="dxa"/>
                </w:tcPr>
                <w:p w:rsidR="00D272C1" w:rsidRPr="00125C87" w:rsidRDefault="00D272C1" w:rsidP="00D272C1">
                  <w:pPr>
                    <w:jc w:val="center"/>
                    <w:rPr>
                      <w:rFonts w:ascii="Times New Roman" w:hAnsi="Times New Roman" w:cs="Times New Roman"/>
                      <w:sz w:val="20"/>
                      <w:szCs w:val="20"/>
                    </w:rPr>
                  </w:pPr>
                  <w:r w:rsidRPr="00125C87">
                    <w:rPr>
                      <w:rFonts w:ascii="Times New Roman" w:hAnsi="Times New Roman" w:cs="Times New Roman"/>
                      <w:sz w:val="20"/>
                      <w:szCs w:val="20"/>
                    </w:rPr>
                    <w:t>0.936</w:t>
                  </w:r>
                </w:p>
              </w:tc>
              <w:tc>
                <w:tcPr>
                  <w:tcW w:w="967" w:type="dxa"/>
                </w:tcPr>
                <w:p w:rsidR="00D272C1" w:rsidRPr="00125C87" w:rsidRDefault="00D272C1" w:rsidP="00D272C1">
                  <w:pPr>
                    <w:rPr>
                      <w:rFonts w:ascii="Times New Roman" w:hAnsi="Times New Roman" w:cs="Times New Roman"/>
                      <w:sz w:val="20"/>
                      <w:szCs w:val="20"/>
                    </w:rPr>
                  </w:pPr>
                </w:p>
              </w:tc>
            </w:tr>
          </w:tbl>
          <w:p w:rsidR="00F669AA" w:rsidRPr="00125C87" w:rsidRDefault="00CA3017" w:rsidP="00125C87">
            <w:pPr>
              <w:pStyle w:val="Ttulo4"/>
              <w:jc w:val="center"/>
              <w:rPr>
                <w:rFonts w:ascii="Times New Roman" w:hAnsi="Times New Roman" w:cs="Times New Roman"/>
                <w:i w:val="0"/>
                <w:sz w:val="20"/>
                <w:szCs w:val="20"/>
              </w:rPr>
            </w:pPr>
            <w:r w:rsidRPr="00125C87">
              <w:rPr>
                <w:rFonts w:ascii="Times New Roman" w:eastAsia="Times New Roman" w:hAnsi="Times New Roman" w:cs="Times New Roman"/>
                <w:i w:val="0"/>
                <w:color w:val="000000"/>
                <w:sz w:val="20"/>
                <w:szCs w:val="20"/>
                <w:lang w:eastAsia="es-MX"/>
              </w:rPr>
              <w:t xml:space="preserve">Errores estándares robustos en </w:t>
            </w:r>
            <w:r w:rsidR="00125C87">
              <w:rPr>
                <w:rFonts w:ascii="Times New Roman" w:eastAsia="Times New Roman" w:hAnsi="Times New Roman" w:cs="Times New Roman"/>
                <w:i w:val="0"/>
                <w:color w:val="000000"/>
                <w:sz w:val="20"/>
                <w:szCs w:val="20"/>
                <w:lang w:eastAsia="es-MX"/>
              </w:rPr>
              <w:t>paréntesis</w:t>
            </w:r>
            <w:r w:rsidRPr="00125C87">
              <w:rPr>
                <w:rFonts w:ascii="Times New Roman" w:eastAsia="Times New Roman" w:hAnsi="Times New Roman" w:cs="Times New Roman"/>
                <w:i w:val="0"/>
                <w:color w:val="000000"/>
                <w:sz w:val="20"/>
                <w:szCs w:val="20"/>
                <w:lang w:eastAsia="es-MX"/>
              </w:rPr>
              <w:t xml:space="preserve"> *** p&lt;0.01, ** p&lt;0.05, * p&lt;0.1</w:t>
            </w:r>
          </w:p>
        </w:tc>
      </w:tr>
    </w:tbl>
    <w:p w:rsidR="006632BC" w:rsidRDefault="004043BA" w:rsidP="00B71AE9">
      <w:pPr>
        <w:widowControl w:val="0"/>
        <w:autoSpaceDE w:val="0"/>
        <w:autoSpaceDN w:val="0"/>
        <w:adjustRightInd w:val="0"/>
        <w:spacing w:after="120" w:line="240" w:lineRule="auto"/>
        <w:jc w:val="both"/>
        <w:rPr>
          <w:rFonts w:ascii="Times New Roman" w:hAnsi="Times New Roman" w:cs="Times New Roman"/>
          <w:sz w:val="20"/>
          <w:szCs w:val="20"/>
        </w:rPr>
      </w:pPr>
      <w:r w:rsidRPr="00661675">
        <w:rPr>
          <w:rFonts w:ascii="Times New Roman" w:hAnsi="Times New Roman" w:cs="Times New Roman"/>
          <w:sz w:val="20"/>
          <w:szCs w:val="20"/>
        </w:rPr>
        <w:t>También en la estimaci</w:t>
      </w:r>
      <w:r w:rsidR="00C672EE" w:rsidRPr="00661675">
        <w:rPr>
          <w:rFonts w:ascii="Times New Roman" w:hAnsi="Times New Roman" w:cs="Times New Roman"/>
          <w:sz w:val="20"/>
          <w:szCs w:val="20"/>
        </w:rPr>
        <w:t>ón realizada para los entrantes</w:t>
      </w:r>
      <w:r w:rsidRPr="00661675">
        <w:rPr>
          <w:rFonts w:ascii="Times New Roman" w:hAnsi="Times New Roman" w:cs="Times New Roman"/>
          <w:sz w:val="20"/>
          <w:szCs w:val="20"/>
        </w:rPr>
        <w:t xml:space="preserve"> </w:t>
      </w:r>
      <w:r w:rsidR="007B425F" w:rsidRPr="00661675">
        <w:rPr>
          <w:rFonts w:ascii="Times New Roman" w:hAnsi="Times New Roman" w:cs="Times New Roman"/>
          <w:sz w:val="20"/>
          <w:szCs w:val="20"/>
        </w:rPr>
        <w:t>(C</w:t>
      </w:r>
      <w:r w:rsidR="004E109C" w:rsidRPr="00661675">
        <w:rPr>
          <w:rFonts w:ascii="Times New Roman" w:hAnsi="Times New Roman" w:cs="Times New Roman"/>
          <w:sz w:val="20"/>
          <w:szCs w:val="20"/>
        </w:rPr>
        <w:t>uadro 3</w:t>
      </w:r>
      <w:r w:rsidR="00B81A85" w:rsidRPr="00661675">
        <w:rPr>
          <w:rFonts w:ascii="Times New Roman" w:hAnsi="Times New Roman" w:cs="Times New Roman"/>
          <w:sz w:val="20"/>
          <w:szCs w:val="20"/>
        </w:rPr>
        <w:t>)</w:t>
      </w:r>
      <w:r w:rsidR="00C672EE" w:rsidRPr="00661675">
        <w:rPr>
          <w:rFonts w:ascii="Times New Roman" w:hAnsi="Times New Roman" w:cs="Times New Roman"/>
          <w:sz w:val="20"/>
          <w:szCs w:val="20"/>
        </w:rPr>
        <w:t>,</w:t>
      </w:r>
      <w:r w:rsidR="00B81A85" w:rsidRPr="00661675">
        <w:rPr>
          <w:rFonts w:ascii="Times New Roman" w:hAnsi="Times New Roman" w:cs="Times New Roman"/>
          <w:sz w:val="20"/>
          <w:szCs w:val="20"/>
        </w:rPr>
        <w:t xml:space="preserve"> </w:t>
      </w:r>
      <w:r w:rsidRPr="00661675">
        <w:rPr>
          <w:rFonts w:ascii="Times New Roman" w:hAnsi="Times New Roman" w:cs="Times New Roman"/>
          <w:sz w:val="20"/>
          <w:szCs w:val="20"/>
        </w:rPr>
        <w:t>se aprecia</w:t>
      </w:r>
      <w:r w:rsidR="006632BC" w:rsidRPr="00661675">
        <w:rPr>
          <w:rFonts w:ascii="Times New Roman" w:hAnsi="Times New Roman" w:cs="Times New Roman"/>
          <w:sz w:val="20"/>
          <w:szCs w:val="20"/>
        </w:rPr>
        <w:t>n</w:t>
      </w:r>
      <w:r w:rsidRPr="00661675">
        <w:rPr>
          <w:rFonts w:ascii="Times New Roman" w:hAnsi="Times New Roman" w:cs="Times New Roman"/>
          <w:sz w:val="20"/>
          <w:szCs w:val="20"/>
        </w:rPr>
        <w:t xml:space="preserve"> </w:t>
      </w:r>
      <w:r w:rsidR="00C672EE" w:rsidRPr="00661675">
        <w:rPr>
          <w:rFonts w:ascii="Times New Roman" w:hAnsi="Times New Roman" w:cs="Times New Roman"/>
          <w:sz w:val="20"/>
          <w:szCs w:val="20"/>
        </w:rPr>
        <w:t>algunas coincidencias con</w:t>
      </w:r>
      <w:r w:rsidRPr="00661675">
        <w:rPr>
          <w:rFonts w:ascii="Times New Roman" w:hAnsi="Times New Roman" w:cs="Times New Roman"/>
          <w:sz w:val="20"/>
          <w:szCs w:val="20"/>
        </w:rPr>
        <w:t xml:space="preserve"> los resultados esperados y obtenidos por </w:t>
      </w:r>
      <w:r w:rsidR="002C12F8" w:rsidRPr="00661675">
        <w:rPr>
          <w:rFonts w:ascii="Times New Roman" w:hAnsi="Times New Roman" w:cs="Times New Roman"/>
          <w:sz w:val="20"/>
          <w:szCs w:val="20"/>
        </w:rPr>
        <w:t>el autor del modelo, ya que t</w:t>
      </w:r>
      <w:r w:rsidRPr="00661675">
        <w:rPr>
          <w:rFonts w:ascii="Times New Roman" w:hAnsi="Times New Roman" w:cs="Times New Roman"/>
          <w:sz w:val="20"/>
          <w:szCs w:val="20"/>
        </w:rPr>
        <w:t xml:space="preserve">odos los indicadores </w:t>
      </w:r>
      <w:r w:rsidR="00D4577E" w:rsidRPr="00661675">
        <w:rPr>
          <w:rFonts w:ascii="Times New Roman" w:hAnsi="Times New Roman" w:cs="Times New Roman"/>
          <w:sz w:val="20"/>
          <w:szCs w:val="20"/>
        </w:rPr>
        <w:t xml:space="preserve">de desempeño </w:t>
      </w:r>
      <w:r w:rsidRPr="00661675">
        <w:rPr>
          <w:rFonts w:ascii="Times New Roman" w:hAnsi="Times New Roman" w:cs="Times New Roman"/>
          <w:sz w:val="20"/>
          <w:szCs w:val="20"/>
        </w:rPr>
        <w:t>son dependien</w:t>
      </w:r>
      <w:r w:rsidR="00E255D3" w:rsidRPr="00661675">
        <w:rPr>
          <w:rFonts w:ascii="Times New Roman" w:hAnsi="Times New Roman" w:cs="Times New Roman"/>
          <w:sz w:val="20"/>
          <w:szCs w:val="20"/>
        </w:rPr>
        <w:t>tes de su propio valor rezagado</w:t>
      </w:r>
      <w:r w:rsidR="00CF13BA" w:rsidRPr="00661675">
        <w:rPr>
          <w:rFonts w:ascii="Times New Roman" w:hAnsi="Times New Roman" w:cs="Times New Roman"/>
          <w:sz w:val="20"/>
          <w:szCs w:val="20"/>
        </w:rPr>
        <w:t>.</w:t>
      </w:r>
      <w:r w:rsidR="007B425F" w:rsidRPr="00661675">
        <w:rPr>
          <w:rFonts w:ascii="Times New Roman" w:hAnsi="Times New Roman" w:cs="Times New Roman"/>
          <w:sz w:val="20"/>
          <w:szCs w:val="20"/>
        </w:rPr>
        <w:t xml:space="preserve"> Cuando se usa</w:t>
      </w:r>
      <w:r w:rsidR="006632BC" w:rsidRPr="00661675">
        <w:rPr>
          <w:rFonts w:ascii="Times New Roman" w:hAnsi="Times New Roman" w:cs="Times New Roman"/>
          <w:sz w:val="20"/>
          <w:szCs w:val="20"/>
        </w:rPr>
        <w:t xml:space="preserve"> el margen </w:t>
      </w:r>
      <w:proofErr w:type="spellStart"/>
      <w:r w:rsidR="006632BC" w:rsidRPr="00661675">
        <w:rPr>
          <w:rFonts w:ascii="Times New Roman" w:hAnsi="Times New Roman" w:cs="Times New Roman"/>
          <w:sz w:val="20"/>
          <w:szCs w:val="20"/>
        </w:rPr>
        <w:t>Ebdita</w:t>
      </w:r>
      <w:proofErr w:type="spellEnd"/>
      <w:r w:rsidR="006632BC" w:rsidRPr="00661675">
        <w:rPr>
          <w:rFonts w:ascii="Times New Roman" w:hAnsi="Times New Roman" w:cs="Times New Roman"/>
          <w:sz w:val="20"/>
          <w:szCs w:val="20"/>
        </w:rPr>
        <w:t xml:space="preserve"> </w:t>
      </w:r>
      <w:r w:rsidR="007B425F" w:rsidRPr="00661675">
        <w:rPr>
          <w:rFonts w:ascii="Times New Roman" w:hAnsi="Times New Roman" w:cs="Times New Roman"/>
          <w:sz w:val="20"/>
          <w:szCs w:val="20"/>
        </w:rPr>
        <w:t>(Cuadro</w:t>
      </w:r>
      <w:r w:rsidR="002C12F8" w:rsidRPr="00661675">
        <w:rPr>
          <w:rFonts w:ascii="Times New Roman" w:hAnsi="Times New Roman" w:cs="Times New Roman"/>
          <w:sz w:val="20"/>
          <w:szCs w:val="20"/>
        </w:rPr>
        <w:t xml:space="preserve"> 3</w:t>
      </w:r>
      <w:r w:rsidR="004C1FD9" w:rsidRPr="00661675">
        <w:rPr>
          <w:rFonts w:ascii="Times New Roman" w:hAnsi="Times New Roman" w:cs="Times New Roman"/>
          <w:sz w:val="20"/>
          <w:szCs w:val="20"/>
        </w:rPr>
        <w:t>a</w:t>
      </w:r>
      <w:r w:rsidR="006632BC" w:rsidRPr="00661675">
        <w:rPr>
          <w:rFonts w:ascii="Times New Roman" w:hAnsi="Times New Roman" w:cs="Times New Roman"/>
          <w:sz w:val="20"/>
          <w:szCs w:val="20"/>
        </w:rPr>
        <w:t>) también se estima una relación significativa con</w:t>
      </w:r>
      <w:r w:rsidR="00A1527E" w:rsidRPr="00661675">
        <w:rPr>
          <w:rFonts w:ascii="Times New Roman" w:hAnsi="Times New Roman" w:cs="Times New Roman"/>
          <w:sz w:val="20"/>
          <w:szCs w:val="20"/>
        </w:rPr>
        <w:t xml:space="preserve"> las TTM cobradas por los entrantes. </w:t>
      </w:r>
      <w:r w:rsidR="006632BC" w:rsidRPr="00661675">
        <w:rPr>
          <w:rFonts w:ascii="Times New Roman" w:hAnsi="Times New Roman" w:cs="Times New Roman"/>
          <w:sz w:val="20"/>
          <w:szCs w:val="20"/>
        </w:rPr>
        <w:t xml:space="preserve">Al igual que </w:t>
      </w:r>
      <w:proofErr w:type="spellStart"/>
      <w:r w:rsidR="006632BC" w:rsidRPr="00661675">
        <w:rPr>
          <w:rFonts w:ascii="Times New Roman" w:hAnsi="Times New Roman" w:cs="Times New Roman"/>
          <w:sz w:val="20"/>
          <w:szCs w:val="20"/>
        </w:rPr>
        <w:t>Baranes</w:t>
      </w:r>
      <w:proofErr w:type="spellEnd"/>
      <w:r w:rsidR="006632BC" w:rsidRPr="00661675">
        <w:rPr>
          <w:rFonts w:ascii="Times New Roman" w:hAnsi="Times New Roman" w:cs="Times New Roman"/>
          <w:sz w:val="20"/>
          <w:szCs w:val="20"/>
        </w:rPr>
        <w:t xml:space="preserve"> et al (2011</w:t>
      </w:r>
      <w:r w:rsidR="002C12F8" w:rsidRPr="00661675">
        <w:rPr>
          <w:rFonts w:ascii="Times New Roman" w:hAnsi="Times New Roman" w:cs="Times New Roman"/>
          <w:sz w:val="20"/>
          <w:szCs w:val="20"/>
        </w:rPr>
        <w:t xml:space="preserve"> b</w:t>
      </w:r>
      <w:r w:rsidR="006632BC" w:rsidRPr="00661675">
        <w:rPr>
          <w:rFonts w:ascii="Times New Roman" w:hAnsi="Times New Roman" w:cs="Times New Roman"/>
          <w:sz w:val="20"/>
          <w:szCs w:val="20"/>
        </w:rPr>
        <w:t>), no se detectó una relación entr</w:t>
      </w:r>
      <w:r w:rsidR="00E70923" w:rsidRPr="00661675">
        <w:rPr>
          <w:rFonts w:ascii="Times New Roman" w:hAnsi="Times New Roman" w:cs="Times New Roman"/>
          <w:sz w:val="20"/>
          <w:szCs w:val="20"/>
        </w:rPr>
        <w:t xml:space="preserve">e el margen de los entrantes y </w:t>
      </w:r>
      <w:r w:rsidR="006632BC" w:rsidRPr="00661675">
        <w:rPr>
          <w:rFonts w:ascii="Times New Roman" w:hAnsi="Times New Roman" w:cs="Times New Roman"/>
          <w:sz w:val="20"/>
          <w:szCs w:val="20"/>
        </w:rPr>
        <w:t xml:space="preserve">la asimetría regulatoria. </w:t>
      </w:r>
    </w:p>
    <w:p w:rsidR="00CA3017" w:rsidRPr="00661675" w:rsidRDefault="00CA3017" w:rsidP="00B71AE9">
      <w:pPr>
        <w:widowControl w:val="0"/>
        <w:autoSpaceDE w:val="0"/>
        <w:autoSpaceDN w:val="0"/>
        <w:adjustRightInd w:val="0"/>
        <w:spacing w:after="120" w:line="240" w:lineRule="auto"/>
        <w:jc w:val="both"/>
        <w:rPr>
          <w:rFonts w:ascii="Times New Roman" w:hAnsi="Times New Roman" w:cs="Times New Roman"/>
          <w:sz w:val="20"/>
          <w:szCs w:val="20"/>
        </w:rPr>
      </w:pPr>
    </w:p>
    <w:tbl>
      <w:tblPr>
        <w:tblW w:w="9134" w:type="dxa"/>
        <w:jc w:val="center"/>
        <w:tblLayout w:type="fixed"/>
        <w:tblCellMar>
          <w:left w:w="75" w:type="dxa"/>
          <w:right w:w="75" w:type="dxa"/>
        </w:tblCellMar>
        <w:tblLook w:val="0000" w:firstRow="0" w:lastRow="0" w:firstColumn="0" w:lastColumn="0" w:noHBand="0" w:noVBand="0"/>
      </w:tblPr>
      <w:tblGrid>
        <w:gridCol w:w="9134"/>
      </w:tblGrid>
      <w:tr w:rsidR="00755DB2" w:rsidRPr="005D226A" w:rsidTr="00D272C1">
        <w:trPr>
          <w:trHeight w:val="586"/>
          <w:jc w:val="center"/>
        </w:trPr>
        <w:tc>
          <w:tcPr>
            <w:tcW w:w="9134" w:type="dxa"/>
            <w:tcBorders>
              <w:top w:val="nil"/>
              <w:left w:val="nil"/>
              <w:bottom w:val="single" w:sz="6" w:space="0" w:color="auto"/>
              <w:right w:val="nil"/>
            </w:tcBorders>
          </w:tcPr>
          <w:p w:rsidR="00755DB2" w:rsidRPr="007D37B6" w:rsidRDefault="002C12F8" w:rsidP="007A3C4E">
            <w:pPr>
              <w:widowControl w:val="0"/>
              <w:pBdr>
                <w:top w:val="single" w:sz="4" w:space="1" w:color="auto"/>
              </w:pBdr>
              <w:autoSpaceDE w:val="0"/>
              <w:autoSpaceDN w:val="0"/>
              <w:adjustRightInd w:val="0"/>
              <w:spacing w:after="0" w:line="240" w:lineRule="auto"/>
              <w:jc w:val="center"/>
              <w:rPr>
                <w:rFonts w:ascii="Times New Roman" w:hAnsi="Times New Roman" w:cs="Times New Roman"/>
                <w:b/>
                <w:sz w:val="18"/>
                <w:szCs w:val="18"/>
              </w:rPr>
            </w:pPr>
            <w:r w:rsidRPr="007D37B6">
              <w:rPr>
                <w:rFonts w:ascii="Times New Roman" w:hAnsi="Times New Roman" w:cs="Times New Roman"/>
                <w:b/>
                <w:sz w:val="18"/>
                <w:szCs w:val="18"/>
              </w:rPr>
              <w:t>Cuadro 3</w:t>
            </w:r>
            <w:r w:rsidR="00180270" w:rsidRPr="007D37B6">
              <w:rPr>
                <w:rFonts w:ascii="Times New Roman" w:hAnsi="Times New Roman" w:cs="Times New Roman"/>
                <w:b/>
                <w:sz w:val="18"/>
                <w:szCs w:val="18"/>
              </w:rPr>
              <w:t xml:space="preserve">. Resultados Ecuaciones 2 </w:t>
            </w:r>
            <w:r w:rsidRPr="007D37B6">
              <w:rPr>
                <w:rFonts w:ascii="Times New Roman" w:hAnsi="Times New Roman" w:cs="Times New Roman"/>
                <w:b/>
                <w:sz w:val="18"/>
                <w:szCs w:val="18"/>
              </w:rPr>
              <w:t>(c y d)</w:t>
            </w:r>
            <w:r w:rsidR="00DA56BC" w:rsidRPr="007D37B6">
              <w:rPr>
                <w:rFonts w:ascii="Times New Roman" w:hAnsi="Times New Roman" w:cs="Times New Roman"/>
                <w:b/>
                <w:sz w:val="18"/>
                <w:szCs w:val="18"/>
              </w:rPr>
              <w:t>- Entrantes</w:t>
            </w:r>
          </w:p>
          <w:p w:rsidR="00755DB2" w:rsidRPr="007D37B6" w:rsidRDefault="00755DB2" w:rsidP="00DA56BC">
            <w:pPr>
              <w:widowControl w:val="0"/>
              <w:autoSpaceDE w:val="0"/>
              <w:autoSpaceDN w:val="0"/>
              <w:adjustRightInd w:val="0"/>
              <w:spacing w:after="0" w:line="240" w:lineRule="auto"/>
              <w:jc w:val="center"/>
              <w:rPr>
                <w:rFonts w:ascii="Times New Roman" w:hAnsi="Times New Roman" w:cs="Times New Roman"/>
                <w:b/>
                <w:sz w:val="18"/>
                <w:szCs w:val="18"/>
              </w:rPr>
            </w:pPr>
            <w:r w:rsidRPr="007D37B6">
              <w:rPr>
                <w:rFonts w:ascii="Times New Roman" w:hAnsi="Times New Roman" w:cs="Times New Roman"/>
                <w:b/>
                <w:sz w:val="18"/>
                <w:szCs w:val="18"/>
              </w:rPr>
              <w:t xml:space="preserve"> Indicador de Desempeño: Margen </w:t>
            </w:r>
            <w:proofErr w:type="spellStart"/>
            <w:r w:rsidRPr="007D37B6">
              <w:rPr>
                <w:rFonts w:ascii="Times New Roman" w:hAnsi="Times New Roman" w:cs="Times New Roman"/>
                <w:b/>
                <w:sz w:val="18"/>
                <w:szCs w:val="18"/>
              </w:rPr>
              <w:t>Ebitda</w:t>
            </w:r>
            <w:proofErr w:type="spellEnd"/>
            <w:r w:rsidRPr="007D37B6">
              <w:rPr>
                <w:rFonts w:ascii="Times New Roman" w:hAnsi="Times New Roman" w:cs="Times New Roman"/>
                <w:b/>
                <w:sz w:val="18"/>
                <w:szCs w:val="18"/>
              </w:rPr>
              <w:t xml:space="preserve"> y </w:t>
            </w:r>
            <w:r w:rsidR="00971DE5" w:rsidRPr="007D37B6">
              <w:rPr>
                <w:rFonts w:ascii="Times New Roman" w:hAnsi="Times New Roman" w:cs="Times New Roman"/>
                <w:b/>
                <w:sz w:val="18"/>
                <w:szCs w:val="18"/>
              </w:rPr>
              <w:t>Participación de Mercado</w:t>
            </w:r>
          </w:p>
          <w:p w:rsidR="00F669AA" w:rsidRPr="005D226A" w:rsidRDefault="00F669AA" w:rsidP="00971DE5">
            <w:pPr>
              <w:widowControl w:val="0"/>
              <w:autoSpaceDE w:val="0"/>
              <w:autoSpaceDN w:val="0"/>
              <w:adjustRightInd w:val="0"/>
              <w:spacing w:after="0" w:line="240" w:lineRule="auto"/>
              <w:rPr>
                <w:rFonts w:ascii="Times New Roman" w:hAnsi="Times New Roman" w:cs="Times New Roman"/>
                <w:b/>
                <w:sz w:val="24"/>
                <w:szCs w:val="24"/>
              </w:rPr>
            </w:pPr>
          </w:p>
        </w:tc>
      </w:tr>
    </w:tbl>
    <w:tbl>
      <w:tblPr>
        <w:tblStyle w:val="Tablaconcuadrcula"/>
        <w:tblW w:w="0" w:type="auto"/>
        <w:tblInd w:w="988" w:type="dxa"/>
        <w:tblLayout w:type="fixed"/>
        <w:tblLook w:val="04A0" w:firstRow="1" w:lastRow="0" w:firstColumn="1" w:lastColumn="0" w:noHBand="0" w:noVBand="1"/>
      </w:tblPr>
      <w:tblGrid>
        <w:gridCol w:w="1559"/>
        <w:gridCol w:w="1559"/>
        <w:gridCol w:w="1418"/>
        <w:gridCol w:w="1842"/>
        <w:gridCol w:w="1418"/>
      </w:tblGrid>
      <w:tr w:rsidR="00D272C1" w:rsidRPr="00342527" w:rsidTr="004E109C">
        <w:tc>
          <w:tcPr>
            <w:tcW w:w="1559" w:type="dxa"/>
            <w:tcBorders>
              <w:bottom w:val="double" w:sz="4" w:space="0" w:color="5B9BD5" w:themeColor="accent1"/>
            </w:tcBorders>
          </w:tcPr>
          <w:p w:rsidR="00D272C1" w:rsidRPr="007D37B6" w:rsidRDefault="00D272C1" w:rsidP="00D272C1">
            <w:pPr>
              <w:jc w:val="center"/>
              <w:rPr>
                <w:rFonts w:ascii="Times New Roman" w:hAnsi="Times New Roman" w:cs="Times New Roman"/>
                <w:sz w:val="20"/>
                <w:szCs w:val="20"/>
              </w:rPr>
            </w:pPr>
            <w:r w:rsidRPr="007D37B6">
              <w:rPr>
                <w:rFonts w:ascii="Times New Roman" w:hAnsi="Times New Roman" w:cs="Times New Roman"/>
                <w:sz w:val="20"/>
                <w:szCs w:val="20"/>
              </w:rPr>
              <w:t>Variable</w:t>
            </w:r>
          </w:p>
        </w:tc>
        <w:tc>
          <w:tcPr>
            <w:tcW w:w="1559" w:type="dxa"/>
            <w:tcBorders>
              <w:bottom w:val="double" w:sz="4" w:space="0" w:color="5B9BD5" w:themeColor="accent1"/>
            </w:tcBorders>
          </w:tcPr>
          <w:p w:rsidR="00D272C1" w:rsidRPr="007D37B6" w:rsidRDefault="00D272C1" w:rsidP="00D272C1">
            <w:pPr>
              <w:rPr>
                <w:rFonts w:ascii="Times New Roman" w:hAnsi="Times New Roman" w:cs="Times New Roman"/>
                <w:sz w:val="20"/>
                <w:szCs w:val="20"/>
              </w:rPr>
            </w:pPr>
            <w:r w:rsidRPr="007D37B6">
              <w:rPr>
                <w:rFonts w:ascii="Times New Roman" w:hAnsi="Times New Roman" w:cs="Times New Roman"/>
                <w:sz w:val="20"/>
                <w:szCs w:val="20"/>
              </w:rPr>
              <w:t xml:space="preserve">Margen </w:t>
            </w:r>
            <w:proofErr w:type="spellStart"/>
            <w:r w:rsidRPr="007D37B6">
              <w:rPr>
                <w:rFonts w:ascii="Times New Roman" w:hAnsi="Times New Roman" w:cs="Times New Roman"/>
                <w:sz w:val="20"/>
                <w:szCs w:val="20"/>
              </w:rPr>
              <w:t>Ebitda</w:t>
            </w:r>
            <w:proofErr w:type="spellEnd"/>
            <w:r w:rsidRPr="007D37B6">
              <w:rPr>
                <w:rFonts w:ascii="Times New Roman" w:hAnsi="Times New Roman" w:cs="Times New Roman"/>
                <w:sz w:val="20"/>
                <w:szCs w:val="20"/>
              </w:rPr>
              <w:t xml:space="preserve"> </w:t>
            </w:r>
          </w:p>
        </w:tc>
        <w:tc>
          <w:tcPr>
            <w:tcW w:w="1418" w:type="dxa"/>
            <w:tcBorders>
              <w:bottom w:val="double" w:sz="4" w:space="0" w:color="5B9BD5" w:themeColor="accent1"/>
            </w:tcBorders>
          </w:tcPr>
          <w:p w:rsidR="00D272C1" w:rsidRPr="007D37B6" w:rsidRDefault="00D272C1" w:rsidP="00D272C1">
            <w:pPr>
              <w:rPr>
                <w:rFonts w:ascii="Times New Roman" w:hAnsi="Times New Roman" w:cs="Times New Roman"/>
                <w:sz w:val="20"/>
                <w:szCs w:val="20"/>
              </w:rPr>
            </w:pPr>
            <w:proofErr w:type="spellStart"/>
            <w:r w:rsidRPr="007D37B6">
              <w:rPr>
                <w:rFonts w:ascii="Times New Roman" w:hAnsi="Times New Roman" w:cs="Times New Roman"/>
                <w:sz w:val="20"/>
                <w:szCs w:val="20"/>
              </w:rPr>
              <w:t>Baranes</w:t>
            </w:r>
            <w:proofErr w:type="spellEnd"/>
          </w:p>
        </w:tc>
        <w:tc>
          <w:tcPr>
            <w:tcW w:w="1842" w:type="dxa"/>
            <w:tcBorders>
              <w:bottom w:val="double" w:sz="4" w:space="0" w:color="5B9BD5" w:themeColor="accent1"/>
            </w:tcBorders>
          </w:tcPr>
          <w:p w:rsidR="00D272C1" w:rsidRPr="007D37B6" w:rsidRDefault="00D272C1" w:rsidP="00D272C1">
            <w:pPr>
              <w:rPr>
                <w:rFonts w:ascii="Times New Roman" w:hAnsi="Times New Roman" w:cs="Times New Roman"/>
                <w:sz w:val="20"/>
                <w:szCs w:val="20"/>
              </w:rPr>
            </w:pPr>
            <w:r w:rsidRPr="007D37B6">
              <w:rPr>
                <w:rFonts w:ascii="Times New Roman" w:hAnsi="Times New Roman" w:cs="Times New Roman"/>
                <w:sz w:val="20"/>
                <w:szCs w:val="20"/>
              </w:rPr>
              <w:t>Participación de Mercado</w:t>
            </w:r>
          </w:p>
        </w:tc>
        <w:tc>
          <w:tcPr>
            <w:tcW w:w="1418" w:type="dxa"/>
            <w:tcBorders>
              <w:bottom w:val="double" w:sz="4" w:space="0" w:color="5B9BD5" w:themeColor="accent1"/>
            </w:tcBorders>
          </w:tcPr>
          <w:p w:rsidR="00D272C1" w:rsidRPr="007D37B6" w:rsidRDefault="00D272C1" w:rsidP="00D272C1">
            <w:pPr>
              <w:rPr>
                <w:rFonts w:ascii="Times New Roman" w:hAnsi="Times New Roman" w:cs="Times New Roman"/>
                <w:sz w:val="20"/>
                <w:szCs w:val="20"/>
              </w:rPr>
            </w:pPr>
            <w:proofErr w:type="spellStart"/>
            <w:r w:rsidRPr="007D37B6">
              <w:rPr>
                <w:rFonts w:ascii="Times New Roman" w:hAnsi="Times New Roman" w:cs="Times New Roman"/>
                <w:sz w:val="20"/>
                <w:szCs w:val="20"/>
              </w:rPr>
              <w:t>Baranes</w:t>
            </w:r>
            <w:proofErr w:type="spellEnd"/>
          </w:p>
        </w:tc>
      </w:tr>
      <w:tr w:rsidR="00D272C1" w:rsidRPr="00342527" w:rsidTr="004E109C">
        <w:tc>
          <w:tcPr>
            <w:tcW w:w="1559" w:type="dxa"/>
            <w:tcBorders>
              <w:top w:val="double" w:sz="4" w:space="0" w:color="5B9BD5" w:themeColor="accent1"/>
            </w:tcBorders>
          </w:tcPr>
          <w:p w:rsidR="00D272C1" w:rsidRPr="00B23856" w:rsidRDefault="00D272C1" w:rsidP="00D272C1">
            <w:pPr>
              <w:rPr>
                <w:rFonts w:ascii="Times New Roman" w:hAnsi="Times New Roman" w:cs="Times New Roman"/>
                <w:sz w:val="20"/>
                <w:szCs w:val="20"/>
              </w:rPr>
            </w:pPr>
            <w:r w:rsidRPr="00B23856">
              <w:rPr>
                <w:rFonts w:ascii="Times New Roman" w:hAnsi="Times New Roman" w:cs="Times New Roman"/>
                <w:sz w:val="20"/>
                <w:szCs w:val="20"/>
              </w:rPr>
              <w:t>PM t-1</w:t>
            </w:r>
          </w:p>
        </w:tc>
        <w:tc>
          <w:tcPr>
            <w:tcW w:w="1559" w:type="dxa"/>
            <w:tcBorders>
              <w:top w:val="double" w:sz="4" w:space="0" w:color="5B9BD5" w:themeColor="accent1"/>
            </w:tcBorders>
          </w:tcPr>
          <w:p w:rsidR="00D272C1" w:rsidRPr="00B23856" w:rsidRDefault="00D272C1" w:rsidP="00D272C1">
            <w:pPr>
              <w:jc w:val="center"/>
              <w:rPr>
                <w:rFonts w:ascii="Times New Roman" w:hAnsi="Times New Roman" w:cs="Times New Roman"/>
                <w:sz w:val="20"/>
                <w:szCs w:val="20"/>
              </w:rPr>
            </w:pPr>
            <w:r w:rsidRPr="00B23856">
              <w:rPr>
                <w:rFonts w:ascii="Times New Roman" w:hAnsi="Times New Roman" w:cs="Times New Roman"/>
                <w:sz w:val="20"/>
                <w:szCs w:val="20"/>
              </w:rPr>
              <w:t>0.927</w:t>
            </w:r>
          </w:p>
          <w:p w:rsidR="00D272C1" w:rsidRPr="00B23856" w:rsidRDefault="00D272C1" w:rsidP="00D272C1">
            <w:pPr>
              <w:jc w:val="center"/>
              <w:rPr>
                <w:rFonts w:ascii="Times New Roman" w:hAnsi="Times New Roman" w:cs="Times New Roman"/>
                <w:sz w:val="20"/>
                <w:szCs w:val="20"/>
              </w:rPr>
            </w:pPr>
            <w:r w:rsidRPr="00B23856">
              <w:rPr>
                <w:rFonts w:ascii="Times New Roman" w:hAnsi="Times New Roman" w:cs="Times New Roman"/>
                <w:sz w:val="20"/>
                <w:szCs w:val="20"/>
              </w:rPr>
              <w:t>(0.574)</w:t>
            </w:r>
          </w:p>
        </w:tc>
        <w:tc>
          <w:tcPr>
            <w:tcW w:w="1418" w:type="dxa"/>
            <w:tcBorders>
              <w:top w:val="double" w:sz="4" w:space="0" w:color="5B9BD5" w:themeColor="accent1"/>
            </w:tcBorders>
          </w:tcPr>
          <w:p w:rsidR="00D272C1" w:rsidRPr="00B23856" w:rsidRDefault="00D272C1" w:rsidP="00D272C1">
            <w:pPr>
              <w:rPr>
                <w:rFonts w:ascii="Times New Roman" w:hAnsi="Times New Roman" w:cs="Times New Roman"/>
                <w:sz w:val="20"/>
                <w:szCs w:val="20"/>
                <w:lang w:val="en-US"/>
              </w:rPr>
            </w:pPr>
            <w:r w:rsidRPr="00B23856">
              <w:rPr>
                <w:rFonts w:ascii="Times New Roman" w:hAnsi="Times New Roman" w:cs="Times New Roman"/>
                <w:sz w:val="20"/>
                <w:szCs w:val="20"/>
              </w:rPr>
              <w:t xml:space="preserve">        * (+)</w:t>
            </w:r>
          </w:p>
        </w:tc>
        <w:tc>
          <w:tcPr>
            <w:tcW w:w="1842" w:type="dxa"/>
            <w:tcBorders>
              <w:top w:val="double" w:sz="4" w:space="0" w:color="5B9BD5" w:themeColor="accent1"/>
            </w:tcBorders>
          </w:tcPr>
          <w:p w:rsidR="00D272C1" w:rsidRPr="00B23856" w:rsidRDefault="00D272C1" w:rsidP="00D272C1">
            <w:pPr>
              <w:jc w:val="center"/>
              <w:rPr>
                <w:rFonts w:ascii="Times New Roman" w:hAnsi="Times New Roman" w:cs="Times New Roman"/>
                <w:sz w:val="20"/>
                <w:szCs w:val="20"/>
              </w:rPr>
            </w:pPr>
            <w:r w:rsidRPr="00B23856">
              <w:rPr>
                <w:rFonts w:ascii="Times New Roman" w:hAnsi="Times New Roman" w:cs="Times New Roman"/>
                <w:sz w:val="20"/>
                <w:szCs w:val="20"/>
              </w:rPr>
              <w:t>0.723  ***</w:t>
            </w:r>
          </w:p>
          <w:p w:rsidR="00D272C1" w:rsidRPr="00B23856" w:rsidRDefault="00D272C1" w:rsidP="00D272C1">
            <w:pPr>
              <w:jc w:val="center"/>
              <w:rPr>
                <w:rFonts w:ascii="Times New Roman" w:hAnsi="Times New Roman" w:cs="Times New Roman"/>
                <w:sz w:val="20"/>
                <w:szCs w:val="20"/>
              </w:rPr>
            </w:pPr>
            <w:r w:rsidRPr="00B23856">
              <w:rPr>
                <w:rFonts w:ascii="Times New Roman" w:hAnsi="Times New Roman" w:cs="Times New Roman"/>
                <w:sz w:val="20"/>
                <w:szCs w:val="20"/>
              </w:rPr>
              <w:t>(0.124)</w:t>
            </w:r>
          </w:p>
        </w:tc>
        <w:tc>
          <w:tcPr>
            <w:tcW w:w="1418" w:type="dxa"/>
            <w:tcBorders>
              <w:top w:val="double" w:sz="4" w:space="0" w:color="5B9BD5" w:themeColor="accent1"/>
            </w:tcBorders>
          </w:tcPr>
          <w:p w:rsidR="00D272C1" w:rsidRPr="00B23856" w:rsidRDefault="00D272C1" w:rsidP="00D272C1">
            <w:pPr>
              <w:rPr>
                <w:rFonts w:ascii="Times New Roman" w:hAnsi="Times New Roman" w:cs="Times New Roman"/>
                <w:sz w:val="20"/>
                <w:szCs w:val="20"/>
              </w:rPr>
            </w:pPr>
            <w:r w:rsidRPr="00B23856">
              <w:rPr>
                <w:rFonts w:ascii="Times New Roman" w:hAnsi="Times New Roman" w:cs="Times New Roman"/>
                <w:sz w:val="20"/>
                <w:szCs w:val="20"/>
              </w:rPr>
              <w:t>*** (+)</w:t>
            </w:r>
          </w:p>
        </w:tc>
      </w:tr>
      <w:tr w:rsidR="00D272C1" w:rsidRPr="00342527" w:rsidTr="004E109C">
        <w:tc>
          <w:tcPr>
            <w:tcW w:w="1559" w:type="dxa"/>
          </w:tcPr>
          <w:p w:rsidR="00D272C1" w:rsidRPr="00B23856" w:rsidRDefault="00D272C1" w:rsidP="00D272C1">
            <w:pPr>
              <w:rPr>
                <w:rFonts w:ascii="Times New Roman" w:hAnsi="Times New Roman" w:cs="Times New Roman"/>
                <w:sz w:val="20"/>
                <w:szCs w:val="20"/>
              </w:rPr>
            </w:pPr>
            <w:r w:rsidRPr="00B23856">
              <w:rPr>
                <w:rFonts w:ascii="Times New Roman" w:hAnsi="Times New Roman" w:cs="Times New Roman"/>
                <w:sz w:val="20"/>
                <w:szCs w:val="20"/>
              </w:rPr>
              <w:t xml:space="preserve">Mg </w:t>
            </w:r>
            <w:proofErr w:type="spellStart"/>
            <w:r w:rsidRPr="00B23856">
              <w:rPr>
                <w:rFonts w:ascii="Times New Roman" w:hAnsi="Times New Roman" w:cs="Times New Roman"/>
                <w:sz w:val="20"/>
                <w:szCs w:val="20"/>
              </w:rPr>
              <w:t>Ebitda</w:t>
            </w:r>
            <w:proofErr w:type="spellEnd"/>
            <w:r w:rsidRPr="00B23856">
              <w:rPr>
                <w:rFonts w:ascii="Times New Roman" w:hAnsi="Times New Roman" w:cs="Times New Roman"/>
                <w:sz w:val="20"/>
                <w:szCs w:val="20"/>
              </w:rPr>
              <w:t xml:space="preserve"> t-1</w:t>
            </w:r>
          </w:p>
        </w:tc>
        <w:tc>
          <w:tcPr>
            <w:tcW w:w="1559" w:type="dxa"/>
          </w:tcPr>
          <w:tbl>
            <w:tblPr>
              <w:tblW w:w="0" w:type="auto"/>
              <w:jc w:val="center"/>
              <w:tblLayout w:type="fixed"/>
              <w:tblCellMar>
                <w:left w:w="75" w:type="dxa"/>
                <w:right w:w="75" w:type="dxa"/>
              </w:tblCellMar>
              <w:tblLook w:val="0000" w:firstRow="0" w:lastRow="0" w:firstColumn="0" w:lastColumn="0" w:noHBand="0" w:noVBand="0"/>
            </w:tblPr>
            <w:tblGrid>
              <w:gridCol w:w="1948"/>
            </w:tblGrid>
            <w:tr w:rsidR="00D272C1" w:rsidRPr="00B23856" w:rsidTr="00D272C1">
              <w:trPr>
                <w:trHeight w:val="285"/>
                <w:jc w:val="center"/>
              </w:trPr>
              <w:tc>
                <w:tcPr>
                  <w:tcW w:w="1948" w:type="dxa"/>
                  <w:tcBorders>
                    <w:top w:val="nil"/>
                    <w:left w:val="nil"/>
                    <w:bottom w:val="nil"/>
                    <w:right w:val="nil"/>
                  </w:tcBorders>
                </w:tcPr>
                <w:p w:rsidR="00D272C1" w:rsidRPr="00B23856" w:rsidRDefault="00D272C1" w:rsidP="00D272C1">
                  <w:pPr>
                    <w:widowControl w:val="0"/>
                    <w:autoSpaceDE w:val="0"/>
                    <w:autoSpaceDN w:val="0"/>
                    <w:adjustRightInd w:val="0"/>
                    <w:spacing w:after="0" w:line="240" w:lineRule="auto"/>
                    <w:jc w:val="center"/>
                    <w:rPr>
                      <w:rFonts w:ascii="Times New Roman" w:hAnsi="Times New Roman" w:cs="Times New Roman"/>
                      <w:sz w:val="20"/>
                      <w:szCs w:val="20"/>
                    </w:rPr>
                  </w:pPr>
                  <w:r w:rsidRPr="00B23856">
                    <w:rPr>
                      <w:rFonts w:ascii="Times New Roman" w:hAnsi="Times New Roman" w:cs="Times New Roman"/>
                      <w:sz w:val="20"/>
                      <w:szCs w:val="20"/>
                      <w:lang w:val="en-US"/>
                    </w:rPr>
                    <w:t>0.667   ***</w:t>
                  </w:r>
                </w:p>
              </w:tc>
            </w:tr>
            <w:tr w:rsidR="00D272C1" w:rsidRPr="00B23856" w:rsidTr="00D272C1">
              <w:trPr>
                <w:trHeight w:val="270"/>
                <w:jc w:val="center"/>
              </w:trPr>
              <w:tc>
                <w:tcPr>
                  <w:tcW w:w="1948" w:type="dxa"/>
                  <w:tcBorders>
                    <w:top w:val="nil"/>
                    <w:left w:val="nil"/>
                    <w:bottom w:val="nil"/>
                    <w:right w:val="nil"/>
                  </w:tcBorders>
                </w:tcPr>
                <w:p w:rsidR="00D272C1" w:rsidRPr="00B23856" w:rsidRDefault="00D272C1" w:rsidP="00D272C1">
                  <w:pPr>
                    <w:widowControl w:val="0"/>
                    <w:autoSpaceDE w:val="0"/>
                    <w:autoSpaceDN w:val="0"/>
                    <w:adjustRightInd w:val="0"/>
                    <w:spacing w:after="0" w:line="240" w:lineRule="auto"/>
                    <w:jc w:val="center"/>
                    <w:rPr>
                      <w:rFonts w:ascii="Times New Roman" w:hAnsi="Times New Roman" w:cs="Times New Roman"/>
                      <w:sz w:val="20"/>
                      <w:szCs w:val="20"/>
                    </w:rPr>
                  </w:pPr>
                  <w:r w:rsidRPr="00B23856">
                    <w:rPr>
                      <w:rFonts w:ascii="Times New Roman" w:hAnsi="Times New Roman" w:cs="Times New Roman"/>
                      <w:sz w:val="20"/>
                      <w:szCs w:val="20"/>
                    </w:rPr>
                    <w:t>(0.124)</w:t>
                  </w:r>
                </w:p>
              </w:tc>
            </w:tr>
          </w:tbl>
          <w:p w:rsidR="00D272C1" w:rsidRPr="00B23856" w:rsidRDefault="00D272C1" w:rsidP="00D272C1">
            <w:pPr>
              <w:jc w:val="center"/>
              <w:rPr>
                <w:rFonts w:ascii="Times New Roman" w:hAnsi="Times New Roman" w:cs="Times New Roman"/>
                <w:sz w:val="20"/>
                <w:szCs w:val="20"/>
              </w:rPr>
            </w:pPr>
          </w:p>
        </w:tc>
        <w:tc>
          <w:tcPr>
            <w:tcW w:w="1418" w:type="dxa"/>
          </w:tcPr>
          <w:p w:rsidR="00D272C1" w:rsidRPr="00B23856" w:rsidRDefault="00D272C1" w:rsidP="00D272C1">
            <w:pPr>
              <w:jc w:val="center"/>
              <w:rPr>
                <w:rFonts w:ascii="Times New Roman" w:hAnsi="Times New Roman" w:cs="Times New Roman"/>
                <w:sz w:val="20"/>
                <w:szCs w:val="20"/>
              </w:rPr>
            </w:pPr>
            <w:r w:rsidRPr="00B23856">
              <w:rPr>
                <w:rFonts w:ascii="Times New Roman" w:hAnsi="Times New Roman" w:cs="Times New Roman"/>
                <w:sz w:val="20"/>
                <w:szCs w:val="20"/>
                <w:lang w:val="en-US"/>
              </w:rPr>
              <w:t>*** (+)</w:t>
            </w:r>
          </w:p>
        </w:tc>
        <w:tc>
          <w:tcPr>
            <w:tcW w:w="1842" w:type="dxa"/>
          </w:tcPr>
          <w:p w:rsidR="00D272C1" w:rsidRPr="00B23856" w:rsidRDefault="00D272C1" w:rsidP="00D272C1">
            <w:pPr>
              <w:jc w:val="center"/>
              <w:rPr>
                <w:rFonts w:ascii="Times New Roman" w:hAnsi="Times New Roman" w:cs="Times New Roman"/>
                <w:sz w:val="20"/>
                <w:szCs w:val="20"/>
              </w:rPr>
            </w:pPr>
            <w:r w:rsidRPr="00B23856">
              <w:rPr>
                <w:rFonts w:ascii="Times New Roman" w:hAnsi="Times New Roman" w:cs="Times New Roman"/>
                <w:sz w:val="20"/>
                <w:szCs w:val="20"/>
              </w:rPr>
              <w:t>0.0216</w:t>
            </w:r>
          </w:p>
          <w:p w:rsidR="00D272C1" w:rsidRPr="00B23856" w:rsidRDefault="00D272C1" w:rsidP="00D272C1">
            <w:pPr>
              <w:jc w:val="center"/>
              <w:rPr>
                <w:rFonts w:ascii="Times New Roman" w:hAnsi="Times New Roman" w:cs="Times New Roman"/>
                <w:sz w:val="20"/>
                <w:szCs w:val="20"/>
              </w:rPr>
            </w:pPr>
            <w:r w:rsidRPr="00B23856">
              <w:rPr>
                <w:rFonts w:ascii="Times New Roman" w:hAnsi="Times New Roman" w:cs="Times New Roman"/>
                <w:sz w:val="20"/>
                <w:szCs w:val="20"/>
              </w:rPr>
              <w:t>(0.0270)</w:t>
            </w:r>
          </w:p>
        </w:tc>
        <w:tc>
          <w:tcPr>
            <w:tcW w:w="1418" w:type="dxa"/>
          </w:tcPr>
          <w:p w:rsidR="00D272C1" w:rsidRPr="00B23856" w:rsidRDefault="00D272C1" w:rsidP="00D272C1">
            <w:pPr>
              <w:rPr>
                <w:rFonts w:ascii="Times New Roman" w:hAnsi="Times New Roman" w:cs="Times New Roman"/>
                <w:sz w:val="20"/>
                <w:szCs w:val="20"/>
              </w:rPr>
            </w:pPr>
            <w:r w:rsidRPr="00B23856">
              <w:rPr>
                <w:rFonts w:ascii="Times New Roman" w:hAnsi="Times New Roman" w:cs="Times New Roman"/>
                <w:sz w:val="20"/>
                <w:szCs w:val="20"/>
              </w:rPr>
              <w:t>*** (+)</w:t>
            </w:r>
          </w:p>
        </w:tc>
      </w:tr>
      <w:tr w:rsidR="00D272C1" w:rsidRPr="00342527" w:rsidTr="004E109C">
        <w:tc>
          <w:tcPr>
            <w:tcW w:w="1559" w:type="dxa"/>
          </w:tcPr>
          <w:p w:rsidR="00D272C1" w:rsidRPr="00B23856" w:rsidRDefault="00D272C1" w:rsidP="00D272C1">
            <w:pPr>
              <w:rPr>
                <w:rFonts w:ascii="Times New Roman" w:hAnsi="Times New Roman" w:cs="Times New Roman"/>
                <w:sz w:val="20"/>
                <w:szCs w:val="20"/>
              </w:rPr>
            </w:pPr>
            <w:r w:rsidRPr="00B23856">
              <w:rPr>
                <w:rFonts w:ascii="Times New Roman" w:hAnsi="Times New Roman" w:cs="Times New Roman"/>
                <w:sz w:val="20"/>
                <w:szCs w:val="20"/>
              </w:rPr>
              <w:t>AR</w:t>
            </w:r>
          </w:p>
        </w:tc>
        <w:tc>
          <w:tcPr>
            <w:tcW w:w="1559" w:type="dxa"/>
          </w:tcPr>
          <w:p w:rsidR="00D272C1" w:rsidRPr="00B23856" w:rsidRDefault="00D272C1" w:rsidP="00D272C1">
            <w:pPr>
              <w:widowControl w:val="0"/>
              <w:autoSpaceDE w:val="0"/>
              <w:autoSpaceDN w:val="0"/>
              <w:adjustRightInd w:val="0"/>
              <w:jc w:val="center"/>
              <w:rPr>
                <w:rFonts w:ascii="Times New Roman" w:hAnsi="Times New Roman" w:cs="Times New Roman"/>
                <w:sz w:val="20"/>
                <w:szCs w:val="20"/>
                <w:lang w:val="en-US"/>
              </w:rPr>
            </w:pPr>
            <w:r w:rsidRPr="00B23856">
              <w:rPr>
                <w:rFonts w:ascii="Times New Roman" w:hAnsi="Times New Roman" w:cs="Times New Roman"/>
                <w:sz w:val="20"/>
                <w:szCs w:val="20"/>
              </w:rPr>
              <w:t>-2.45e-09</w:t>
            </w:r>
          </w:p>
          <w:p w:rsidR="00D272C1" w:rsidRPr="00B23856" w:rsidRDefault="00D272C1" w:rsidP="00D272C1">
            <w:pPr>
              <w:jc w:val="center"/>
              <w:rPr>
                <w:rFonts w:ascii="Times New Roman" w:hAnsi="Times New Roman" w:cs="Times New Roman"/>
                <w:sz w:val="20"/>
                <w:szCs w:val="20"/>
              </w:rPr>
            </w:pPr>
            <w:r w:rsidRPr="00B23856">
              <w:rPr>
                <w:rFonts w:ascii="Times New Roman" w:hAnsi="Times New Roman" w:cs="Times New Roman"/>
                <w:sz w:val="20"/>
                <w:szCs w:val="20"/>
              </w:rPr>
              <w:t>(4.26e-09)</w:t>
            </w:r>
          </w:p>
        </w:tc>
        <w:tc>
          <w:tcPr>
            <w:tcW w:w="1418" w:type="dxa"/>
          </w:tcPr>
          <w:p w:rsidR="00D272C1" w:rsidRPr="00B23856" w:rsidRDefault="00D272C1" w:rsidP="00D272C1">
            <w:pPr>
              <w:widowControl w:val="0"/>
              <w:autoSpaceDE w:val="0"/>
              <w:autoSpaceDN w:val="0"/>
              <w:adjustRightInd w:val="0"/>
              <w:jc w:val="center"/>
              <w:rPr>
                <w:rFonts w:ascii="Times New Roman" w:hAnsi="Times New Roman" w:cs="Times New Roman"/>
                <w:sz w:val="20"/>
                <w:szCs w:val="20"/>
                <w:lang w:val="en-US"/>
              </w:rPr>
            </w:pPr>
          </w:p>
        </w:tc>
        <w:tc>
          <w:tcPr>
            <w:tcW w:w="1842" w:type="dxa"/>
          </w:tcPr>
          <w:p w:rsidR="00D272C1" w:rsidRPr="00B23856" w:rsidRDefault="00D272C1" w:rsidP="00D272C1">
            <w:pPr>
              <w:jc w:val="center"/>
              <w:rPr>
                <w:rFonts w:ascii="Times New Roman" w:hAnsi="Times New Roman" w:cs="Times New Roman"/>
                <w:sz w:val="20"/>
                <w:szCs w:val="20"/>
              </w:rPr>
            </w:pPr>
            <w:r w:rsidRPr="00B23856">
              <w:rPr>
                <w:rFonts w:ascii="Times New Roman" w:hAnsi="Times New Roman" w:cs="Times New Roman"/>
                <w:sz w:val="20"/>
                <w:szCs w:val="20"/>
              </w:rPr>
              <w:t>5.73e-10</w:t>
            </w:r>
          </w:p>
          <w:p w:rsidR="00D272C1" w:rsidRPr="00B23856" w:rsidRDefault="00D272C1" w:rsidP="00D272C1">
            <w:pPr>
              <w:jc w:val="center"/>
              <w:rPr>
                <w:rFonts w:ascii="Times New Roman" w:hAnsi="Times New Roman" w:cs="Times New Roman"/>
                <w:sz w:val="20"/>
                <w:szCs w:val="20"/>
              </w:rPr>
            </w:pPr>
            <w:r w:rsidRPr="00B23856">
              <w:rPr>
                <w:rFonts w:ascii="Times New Roman" w:hAnsi="Times New Roman" w:cs="Times New Roman"/>
                <w:sz w:val="20"/>
                <w:szCs w:val="20"/>
              </w:rPr>
              <w:t>(8.79e-10)</w:t>
            </w:r>
          </w:p>
        </w:tc>
        <w:tc>
          <w:tcPr>
            <w:tcW w:w="1418" w:type="dxa"/>
          </w:tcPr>
          <w:p w:rsidR="00D272C1" w:rsidRPr="00B23856" w:rsidRDefault="00D272C1" w:rsidP="00D272C1">
            <w:pPr>
              <w:rPr>
                <w:rFonts w:ascii="Times New Roman" w:hAnsi="Times New Roman" w:cs="Times New Roman"/>
                <w:sz w:val="20"/>
                <w:szCs w:val="20"/>
              </w:rPr>
            </w:pPr>
            <w:r w:rsidRPr="00B23856">
              <w:rPr>
                <w:rFonts w:ascii="Times New Roman" w:hAnsi="Times New Roman" w:cs="Times New Roman"/>
                <w:sz w:val="20"/>
                <w:szCs w:val="20"/>
              </w:rPr>
              <w:t>*** (+)</w:t>
            </w:r>
          </w:p>
        </w:tc>
      </w:tr>
      <w:tr w:rsidR="00D272C1" w:rsidRPr="00342527" w:rsidTr="004E109C">
        <w:tc>
          <w:tcPr>
            <w:tcW w:w="1559" w:type="dxa"/>
          </w:tcPr>
          <w:p w:rsidR="00D272C1" w:rsidRPr="00B23856" w:rsidRDefault="00D272C1" w:rsidP="00D272C1">
            <w:pPr>
              <w:rPr>
                <w:rFonts w:ascii="Times New Roman" w:hAnsi="Times New Roman" w:cs="Times New Roman"/>
                <w:sz w:val="20"/>
                <w:szCs w:val="20"/>
              </w:rPr>
            </w:pPr>
            <w:proofErr w:type="spellStart"/>
            <w:r w:rsidRPr="00B23856">
              <w:rPr>
                <w:rFonts w:ascii="Times New Roman" w:hAnsi="Times New Roman" w:cs="Times New Roman"/>
                <w:sz w:val="20"/>
                <w:szCs w:val="20"/>
              </w:rPr>
              <w:t>Ttm</w:t>
            </w:r>
            <w:proofErr w:type="spellEnd"/>
            <w:r w:rsidRPr="00B23856">
              <w:rPr>
                <w:rFonts w:ascii="Times New Roman" w:hAnsi="Times New Roman" w:cs="Times New Roman"/>
                <w:sz w:val="20"/>
                <w:szCs w:val="20"/>
              </w:rPr>
              <w:t xml:space="preserve"> entrantes</w:t>
            </w:r>
          </w:p>
        </w:tc>
        <w:tc>
          <w:tcPr>
            <w:tcW w:w="1559" w:type="dxa"/>
          </w:tcPr>
          <w:p w:rsidR="00D272C1" w:rsidRPr="00B23856" w:rsidRDefault="00D272C1" w:rsidP="00D272C1">
            <w:pPr>
              <w:jc w:val="center"/>
              <w:rPr>
                <w:rFonts w:ascii="Times New Roman" w:hAnsi="Times New Roman" w:cs="Times New Roman"/>
                <w:sz w:val="20"/>
                <w:szCs w:val="20"/>
              </w:rPr>
            </w:pPr>
            <w:r w:rsidRPr="00B23856">
              <w:rPr>
                <w:rFonts w:ascii="Times New Roman" w:hAnsi="Times New Roman" w:cs="Times New Roman"/>
                <w:sz w:val="20"/>
                <w:szCs w:val="20"/>
              </w:rPr>
              <w:t>74.54  **</w:t>
            </w:r>
          </w:p>
          <w:p w:rsidR="00D272C1" w:rsidRPr="00B23856" w:rsidRDefault="00D272C1" w:rsidP="00D272C1">
            <w:pPr>
              <w:jc w:val="center"/>
              <w:rPr>
                <w:rFonts w:ascii="Times New Roman" w:hAnsi="Times New Roman" w:cs="Times New Roman"/>
                <w:sz w:val="20"/>
                <w:szCs w:val="20"/>
              </w:rPr>
            </w:pPr>
            <w:r w:rsidRPr="00B23856">
              <w:rPr>
                <w:rFonts w:ascii="Times New Roman" w:hAnsi="Times New Roman" w:cs="Times New Roman"/>
                <w:sz w:val="20"/>
                <w:szCs w:val="20"/>
              </w:rPr>
              <w:t>(36.52)</w:t>
            </w:r>
          </w:p>
        </w:tc>
        <w:tc>
          <w:tcPr>
            <w:tcW w:w="1418" w:type="dxa"/>
          </w:tcPr>
          <w:p w:rsidR="00D272C1" w:rsidRPr="00B23856" w:rsidRDefault="00D272C1" w:rsidP="00D272C1">
            <w:pPr>
              <w:widowControl w:val="0"/>
              <w:autoSpaceDE w:val="0"/>
              <w:autoSpaceDN w:val="0"/>
              <w:adjustRightInd w:val="0"/>
              <w:jc w:val="center"/>
              <w:rPr>
                <w:rFonts w:ascii="Times New Roman" w:hAnsi="Times New Roman" w:cs="Times New Roman"/>
                <w:sz w:val="20"/>
                <w:szCs w:val="20"/>
                <w:lang w:val="en-US"/>
              </w:rPr>
            </w:pPr>
          </w:p>
        </w:tc>
        <w:tc>
          <w:tcPr>
            <w:tcW w:w="1842" w:type="dxa"/>
          </w:tcPr>
          <w:p w:rsidR="00D272C1" w:rsidRPr="00B23856" w:rsidRDefault="00D272C1" w:rsidP="00D272C1">
            <w:pPr>
              <w:jc w:val="center"/>
              <w:rPr>
                <w:rFonts w:ascii="Times New Roman" w:hAnsi="Times New Roman" w:cs="Times New Roman"/>
                <w:sz w:val="20"/>
                <w:szCs w:val="20"/>
              </w:rPr>
            </w:pPr>
            <w:r w:rsidRPr="00B23856">
              <w:rPr>
                <w:rFonts w:ascii="Times New Roman" w:hAnsi="Times New Roman" w:cs="Times New Roman"/>
                <w:sz w:val="20"/>
                <w:szCs w:val="20"/>
              </w:rPr>
              <w:t xml:space="preserve">-9.695* </w:t>
            </w:r>
          </w:p>
          <w:p w:rsidR="00D272C1" w:rsidRPr="00B23856" w:rsidRDefault="00D272C1" w:rsidP="00D272C1">
            <w:pPr>
              <w:jc w:val="center"/>
              <w:rPr>
                <w:rFonts w:ascii="Times New Roman" w:hAnsi="Times New Roman" w:cs="Times New Roman"/>
                <w:sz w:val="20"/>
                <w:szCs w:val="20"/>
              </w:rPr>
            </w:pPr>
            <w:r w:rsidRPr="00B23856">
              <w:rPr>
                <w:rFonts w:ascii="Times New Roman" w:hAnsi="Times New Roman" w:cs="Times New Roman"/>
                <w:sz w:val="20"/>
                <w:szCs w:val="20"/>
              </w:rPr>
              <w:t>(3.456)</w:t>
            </w:r>
          </w:p>
        </w:tc>
        <w:tc>
          <w:tcPr>
            <w:tcW w:w="1418" w:type="dxa"/>
          </w:tcPr>
          <w:p w:rsidR="00D272C1" w:rsidRPr="00B23856" w:rsidRDefault="00D272C1" w:rsidP="00D272C1">
            <w:pPr>
              <w:rPr>
                <w:rFonts w:ascii="Times New Roman" w:hAnsi="Times New Roman" w:cs="Times New Roman"/>
                <w:sz w:val="20"/>
                <w:szCs w:val="20"/>
              </w:rPr>
            </w:pPr>
            <w:r w:rsidRPr="00B23856">
              <w:rPr>
                <w:rFonts w:ascii="Times New Roman" w:hAnsi="Times New Roman" w:cs="Times New Roman"/>
                <w:sz w:val="20"/>
                <w:szCs w:val="20"/>
              </w:rPr>
              <w:t xml:space="preserve">*** </w:t>
            </w:r>
            <w:r w:rsidRPr="00C83A98">
              <w:rPr>
                <w:rFonts w:ascii="Times New Roman" w:hAnsi="Times New Roman" w:cs="Times New Roman"/>
                <w:sz w:val="20"/>
                <w:szCs w:val="20"/>
              </w:rPr>
              <w:t>(</w:t>
            </w:r>
            <w:r w:rsidR="00C83A98" w:rsidRPr="00C83A98">
              <w:rPr>
                <w:rFonts w:ascii="Times New Roman" w:hAnsi="Times New Roman" w:cs="Times New Roman"/>
                <w:sz w:val="20"/>
                <w:szCs w:val="20"/>
              </w:rPr>
              <w:t>-</w:t>
            </w:r>
            <w:r w:rsidRPr="00C83A98">
              <w:rPr>
                <w:rFonts w:ascii="Times New Roman" w:hAnsi="Times New Roman" w:cs="Times New Roman"/>
                <w:sz w:val="20"/>
                <w:szCs w:val="20"/>
              </w:rPr>
              <w:t>)</w:t>
            </w:r>
          </w:p>
        </w:tc>
      </w:tr>
      <w:tr w:rsidR="00D272C1" w:rsidRPr="00342527" w:rsidTr="004E109C">
        <w:tc>
          <w:tcPr>
            <w:tcW w:w="1559" w:type="dxa"/>
          </w:tcPr>
          <w:p w:rsidR="00D272C1" w:rsidRPr="00B23856" w:rsidRDefault="00D272C1" w:rsidP="00D272C1">
            <w:pPr>
              <w:rPr>
                <w:rFonts w:ascii="Times New Roman" w:hAnsi="Times New Roman" w:cs="Times New Roman"/>
                <w:sz w:val="20"/>
                <w:szCs w:val="20"/>
              </w:rPr>
            </w:pPr>
            <w:r w:rsidRPr="00B23856">
              <w:rPr>
                <w:rFonts w:ascii="Times New Roman" w:hAnsi="Times New Roman" w:cs="Times New Roman"/>
                <w:sz w:val="20"/>
                <w:szCs w:val="20"/>
              </w:rPr>
              <w:t>Observaciones</w:t>
            </w:r>
          </w:p>
        </w:tc>
        <w:tc>
          <w:tcPr>
            <w:tcW w:w="1559" w:type="dxa"/>
          </w:tcPr>
          <w:p w:rsidR="00D272C1" w:rsidRPr="00B23856" w:rsidRDefault="00D272C1" w:rsidP="00D272C1">
            <w:pPr>
              <w:jc w:val="center"/>
              <w:rPr>
                <w:rFonts w:ascii="Times New Roman" w:hAnsi="Times New Roman" w:cs="Times New Roman"/>
                <w:sz w:val="20"/>
                <w:szCs w:val="20"/>
              </w:rPr>
            </w:pPr>
            <w:r w:rsidRPr="00B23856">
              <w:rPr>
                <w:rFonts w:ascii="Times New Roman" w:hAnsi="Times New Roman" w:cs="Times New Roman"/>
                <w:sz w:val="20"/>
                <w:szCs w:val="20"/>
              </w:rPr>
              <w:t>39</w:t>
            </w:r>
          </w:p>
        </w:tc>
        <w:tc>
          <w:tcPr>
            <w:tcW w:w="1418" w:type="dxa"/>
          </w:tcPr>
          <w:p w:rsidR="00D272C1" w:rsidRPr="00B23856" w:rsidRDefault="00D272C1" w:rsidP="00D272C1">
            <w:pPr>
              <w:rPr>
                <w:rFonts w:ascii="Times New Roman" w:hAnsi="Times New Roman" w:cs="Times New Roman"/>
                <w:sz w:val="20"/>
                <w:szCs w:val="20"/>
              </w:rPr>
            </w:pPr>
          </w:p>
        </w:tc>
        <w:tc>
          <w:tcPr>
            <w:tcW w:w="1842" w:type="dxa"/>
          </w:tcPr>
          <w:p w:rsidR="00D272C1" w:rsidRPr="00B23856" w:rsidRDefault="00D272C1" w:rsidP="00D272C1">
            <w:pPr>
              <w:jc w:val="center"/>
              <w:rPr>
                <w:rFonts w:ascii="Times New Roman" w:hAnsi="Times New Roman" w:cs="Times New Roman"/>
                <w:sz w:val="20"/>
                <w:szCs w:val="20"/>
              </w:rPr>
            </w:pPr>
            <w:r w:rsidRPr="00B23856">
              <w:rPr>
                <w:rFonts w:ascii="Times New Roman" w:hAnsi="Times New Roman" w:cs="Times New Roman"/>
                <w:sz w:val="20"/>
                <w:szCs w:val="20"/>
              </w:rPr>
              <w:t>39</w:t>
            </w:r>
          </w:p>
        </w:tc>
        <w:tc>
          <w:tcPr>
            <w:tcW w:w="1418" w:type="dxa"/>
          </w:tcPr>
          <w:p w:rsidR="00D272C1" w:rsidRPr="00B23856" w:rsidRDefault="00D272C1" w:rsidP="00D272C1">
            <w:pPr>
              <w:rPr>
                <w:rFonts w:ascii="Times New Roman" w:hAnsi="Times New Roman" w:cs="Times New Roman"/>
                <w:sz w:val="20"/>
                <w:szCs w:val="20"/>
              </w:rPr>
            </w:pPr>
          </w:p>
        </w:tc>
      </w:tr>
      <w:tr w:rsidR="00D272C1" w:rsidRPr="00342527" w:rsidTr="004E109C">
        <w:trPr>
          <w:trHeight w:val="222"/>
        </w:trPr>
        <w:tc>
          <w:tcPr>
            <w:tcW w:w="1559" w:type="dxa"/>
          </w:tcPr>
          <w:p w:rsidR="00D272C1" w:rsidRPr="00B23856" w:rsidRDefault="00D272C1" w:rsidP="00D272C1">
            <w:pPr>
              <w:widowControl w:val="0"/>
              <w:autoSpaceDE w:val="0"/>
              <w:autoSpaceDN w:val="0"/>
              <w:adjustRightInd w:val="0"/>
              <w:rPr>
                <w:rFonts w:ascii="Times New Roman" w:hAnsi="Times New Roman" w:cs="Times New Roman"/>
                <w:sz w:val="20"/>
                <w:szCs w:val="20"/>
              </w:rPr>
            </w:pPr>
            <w:r w:rsidRPr="00B23856">
              <w:rPr>
                <w:rFonts w:ascii="Times New Roman" w:hAnsi="Times New Roman" w:cs="Times New Roman"/>
                <w:sz w:val="20"/>
                <w:szCs w:val="20"/>
              </w:rPr>
              <w:t>R-cuadrada</w:t>
            </w:r>
          </w:p>
          <w:p w:rsidR="00D272C1" w:rsidRPr="00B23856" w:rsidRDefault="00D272C1" w:rsidP="00D272C1">
            <w:pPr>
              <w:rPr>
                <w:rFonts w:ascii="Times New Roman" w:hAnsi="Times New Roman" w:cs="Times New Roman"/>
                <w:sz w:val="20"/>
                <w:szCs w:val="20"/>
              </w:rPr>
            </w:pPr>
          </w:p>
        </w:tc>
        <w:tc>
          <w:tcPr>
            <w:tcW w:w="1559" w:type="dxa"/>
          </w:tcPr>
          <w:p w:rsidR="00D272C1" w:rsidRPr="00B23856" w:rsidRDefault="00D272C1" w:rsidP="00D272C1">
            <w:pPr>
              <w:widowControl w:val="0"/>
              <w:autoSpaceDE w:val="0"/>
              <w:autoSpaceDN w:val="0"/>
              <w:adjustRightInd w:val="0"/>
              <w:jc w:val="center"/>
              <w:rPr>
                <w:rFonts w:ascii="Times New Roman" w:hAnsi="Times New Roman" w:cs="Times New Roman"/>
                <w:sz w:val="20"/>
                <w:szCs w:val="20"/>
                <w:lang w:val="en-US"/>
              </w:rPr>
            </w:pPr>
            <w:r w:rsidRPr="00B23856">
              <w:rPr>
                <w:rFonts w:ascii="Times New Roman" w:hAnsi="Times New Roman" w:cs="Times New Roman"/>
                <w:sz w:val="20"/>
                <w:szCs w:val="20"/>
                <w:lang w:val="en-US"/>
              </w:rPr>
              <w:t>0.774</w:t>
            </w:r>
          </w:p>
          <w:p w:rsidR="00D272C1" w:rsidRPr="00B23856" w:rsidRDefault="00D272C1" w:rsidP="00D272C1">
            <w:pPr>
              <w:jc w:val="center"/>
              <w:rPr>
                <w:rFonts w:ascii="Times New Roman" w:hAnsi="Times New Roman" w:cs="Times New Roman"/>
                <w:sz w:val="20"/>
                <w:szCs w:val="20"/>
              </w:rPr>
            </w:pPr>
          </w:p>
        </w:tc>
        <w:tc>
          <w:tcPr>
            <w:tcW w:w="1418" w:type="dxa"/>
          </w:tcPr>
          <w:p w:rsidR="00D272C1" w:rsidRPr="00B23856" w:rsidRDefault="00D272C1" w:rsidP="00D272C1">
            <w:pPr>
              <w:jc w:val="center"/>
              <w:rPr>
                <w:rFonts w:ascii="Times New Roman" w:hAnsi="Times New Roman" w:cs="Times New Roman"/>
                <w:sz w:val="20"/>
                <w:szCs w:val="20"/>
                <w:lang w:val="en-US"/>
              </w:rPr>
            </w:pPr>
          </w:p>
        </w:tc>
        <w:tc>
          <w:tcPr>
            <w:tcW w:w="1842" w:type="dxa"/>
          </w:tcPr>
          <w:p w:rsidR="00D272C1" w:rsidRPr="00B23856" w:rsidRDefault="00D272C1" w:rsidP="00D272C1">
            <w:pPr>
              <w:jc w:val="center"/>
              <w:rPr>
                <w:rFonts w:ascii="Times New Roman" w:hAnsi="Times New Roman" w:cs="Times New Roman"/>
                <w:sz w:val="20"/>
                <w:szCs w:val="20"/>
              </w:rPr>
            </w:pPr>
            <w:r w:rsidRPr="00B23856">
              <w:rPr>
                <w:rFonts w:ascii="Times New Roman" w:hAnsi="Times New Roman" w:cs="Times New Roman"/>
                <w:sz w:val="20"/>
                <w:szCs w:val="20"/>
              </w:rPr>
              <w:t>0.920</w:t>
            </w:r>
          </w:p>
        </w:tc>
        <w:tc>
          <w:tcPr>
            <w:tcW w:w="1418" w:type="dxa"/>
          </w:tcPr>
          <w:p w:rsidR="00D272C1" w:rsidRPr="00B23856" w:rsidRDefault="00D272C1" w:rsidP="00D272C1">
            <w:pPr>
              <w:rPr>
                <w:rFonts w:ascii="Times New Roman" w:hAnsi="Times New Roman" w:cs="Times New Roman"/>
                <w:sz w:val="20"/>
                <w:szCs w:val="20"/>
              </w:rPr>
            </w:pPr>
          </w:p>
        </w:tc>
      </w:tr>
    </w:tbl>
    <w:p w:rsidR="001736D6" w:rsidRPr="00B23856" w:rsidRDefault="00D272C1" w:rsidP="00755D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es-MX"/>
        </w:rPr>
      </w:pPr>
      <w:r w:rsidRPr="00B23856">
        <w:rPr>
          <w:rFonts w:ascii="Times New Roman" w:eastAsia="Times New Roman" w:hAnsi="Times New Roman" w:cs="Times New Roman"/>
          <w:color w:val="000000"/>
          <w:sz w:val="20"/>
          <w:szCs w:val="20"/>
          <w:lang w:eastAsia="es-MX"/>
        </w:rPr>
        <w:t>Er</w:t>
      </w:r>
      <w:r w:rsidR="009D2A96">
        <w:rPr>
          <w:rFonts w:ascii="Times New Roman" w:eastAsia="Times New Roman" w:hAnsi="Times New Roman" w:cs="Times New Roman"/>
          <w:color w:val="000000"/>
          <w:sz w:val="20"/>
          <w:szCs w:val="20"/>
          <w:lang w:eastAsia="es-MX"/>
        </w:rPr>
        <w:t>rores estándares robustos en paréntesis</w:t>
      </w:r>
      <w:r w:rsidRPr="00B23856">
        <w:rPr>
          <w:rFonts w:ascii="Times New Roman" w:eastAsia="Times New Roman" w:hAnsi="Times New Roman" w:cs="Times New Roman"/>
          <w:color w:val="000000"/>
          <w:sz w:val="20"/>
          <w:szCs w:val="20"/>
          <w:lang w:eastAsia="es-MX"/>
        </w:rPr>
        <w:t xml:space="preserve"> *** p&lt;0.01, ** p&lt;0.05, * p&lt;0.1</w:t>
      </w:r>
    </w:p>
    <w:p w:rsidR="00D272C1" w:rsidRPr="00B23856" w:rsidRDefault="00D272C1" w:rsidP="00755DB2">
      <w:pPr>
        <w:widowControl w:val="0"/>
        <w:autoSpaceDE w:val="0"/>
        <w:autoSpaceDN w:val="0"/>
        <w:adjustRightInd w:val="0"/>
        <w:spacing w:after="0" w:line="240" w:lineRule="auto"/>
        <w:jc w:val="center"/>
        <w:rPr>
          <w:rFonts w:ascii="Times New Roman" w:hAnsi="Times New Roman" w:cs="Times New Roman"/>
          <w:sz w:val="20"/>
          <w:szCs w:val="20"/>
        </w:rPr>
      </w:pPr>
    </w:p>
    <w:p w:rsidR="006632BC" w:rsidRPr="00C1181E" w:rsidRDefault="007F5CF0" w:rsidP="00B71AE9">
      <w:pPr>
        <w:widowControl w:val="0"/>
        <w:autoSpaceDE w:val="0"/>
        <w:autoSpaceDN w:val="0"/>
        <w:adjustRightInd w:val="0"/>
        <w:spacing w:after="120" w:line="240" w:lineRule="auto"/>
        <w:jc w:val="both"/>
        <w:rPr>
          <w:rFonts w:ascii="Times New Roman" w:hAnsi="Times New Roman" w:cs="Times New Roman"/>
          <w:sz w:val="20"/>
          <w:szCs w:val="20"/>
        </w:rPr>
      </w:pPr>
      <w:r w:rsidRPr="00C1181E">
        <w:rPr>
          <w:rFonts w:ascii="Times New Roman" w:hAnsi="Times New Roman" w:cs="Times New Roman"/>
          <w:sz w:val="20"/>
          <w:szCs w:val="20"/>
        </w:rPr>
        <w:t>En el caso de la participación de mercado de los entrantes</w:t>
      </w:r>
      <w:r w:rsidR="002C12F8" w:rsidRPr="00C1181E">
        <w:rPr>
          <w:rFonts w:ascii="Times New Roman" w:hAnsi="Times New Roman" w:cs="Times New Roman"/>
          <w:sz w:val="20"/>
          <w:szCs w:val="20"/>
        </w:rPr>
        <w:t xml:space="preserve"> (Cuadro 3</w:t>
      </w:r>
      <w:r w:rsidR="00E255D3" w:rsidRPr="00C1181E">
        <w:rPr>
          <w:rFonts w:ascii="Times New Roman" w:hAnsi="Times New Roman" w:cs="Times New Roman"/>
          <w:sz w:val="20"/>
          <w:szCs w:val="20"/>
        </w:rPr>
        <w:t>b)</w:t>
      </w:r>
      <w:r w:rsidR="00A76B91" w:rsidRPr="00C1181E">
        <w:rPr>
          <w:rFonts w:ascii="Times New Roman" w:hAnsi="Times New Roman" w:cs="Times New Roman"/>
          <w:sz w:val="20"/>
          <w:szCs w:val="20"/>
        </w:rPr>
        <w:t>,</w:t>
      </w:r>
      <w:r w:rsidRPr="00C1181E">
        <w:rPr>
          <w:rFonts w:ascii="Times New Roman" w:hAnsi="Times New Roman" w:cs="Times New Roman"/>
          <w:sz w:val="20"/>
          <w:szCs w:val="20"/>
        </w:rPr>
        <w:t xml:space="preserve"> </w:t>
      </w:r>
      <w:proofErr w:type="spellStart"/>
      <w:r w:rsidRPr="00C1181E">
        <w:rPr>
          <w:rFonts w:ascii="Times New Roman" w:hAnsi="Times New Roman" w:cs="Times New Roman"/>
          <w:sz w:val="20"/>
          <w:szCs w:val="20"/>
        </w:rPr>
        <w:t>Baranes</w:t>
      </w:r>
      <w:proofErr w:type="spellEnd"/>
      <w:r w:rsidRPr="00C1181E">
        <w:rPr>
          <w:rFonts w:ascii="Times New Roman" w:hAnsi="Times New Roman" w:cs="Times New Roman"/>
          <w:sz w:val="20"/>
          <w:szCs w:val="20"/>
        </w:rPr>
        <w:t xml:space="preserve"> et al sí encuentra</w:t>
      </w:r>
      <w:r w:rsidR="00A76B91" w:rsidRPr="00C1181E">
        <w:rPr>
          <w:rFonts w:ascii="Times New Roman" w:hAnsi="Times New Roman" w:cs="Times New Roman"/>
          <w:sz w:val="20"/>
          <w:szCs w:val="20"/>
        </w:rPr>
        <w:t>n</w:t>
      </w:r>
      <w:r w:rsidRPr="00C1181E">
        <w:rPr>
          <w:rFonts w:ascii="Times New Roman" w:hAnsi="Times New Roman" w:cs="Times New Roman"/>
          <w:sz w:val="20"/>
          <w:szCs w:val="20"/>
        </w:rPr>
        <w:t xml:space="preserve"> una relación positiva y significativa de la regulación asimétrica</w:t>
      </w:r>
      <w:r w:rsidR="004E109C" w:rsidRPr="00C1181E">
        <w:rPr>
          <w:rFonts w:ascii="Times New Roman" w:hAnsi="Times New Roman" w:cs="Times New Roman"/>
          <w:sz w:val="20"/>
          <w:szCs w:val="20"/>
        </w:rPr>
        <w:t xml:space="preserve"> AR</w:t>
      </w:r>
      <w:r w:rsidRPr="00C1181E">
        <w:rPr>
          <w:rFonts w:ascii="Times New Roman" w:hAnsi="Times New Roman" w:cs="Times New Roman"/>
          <w:sz w:val="20"/>
          <w:szCs w:val="20"/>
        </w:rPr>
        <w:t xml:space="preserve">, además de determinar relaciones significativas para </w:t>
      </w:r>
      <w:r w:rsidR="00C617FA" w:rsidRPr="00C1181E">
        <w:rPr>
          <w:rFonts w:ascii="Times New Roman" w:hAnsi="Times New Roman" w:cs="Times New Roman"/>
          <w:sz w:val="20"/>
          <w:szCs w:val="20"/>
        </w:rPr>
        <w:t>los valores rezagados de los</w:t>
      </w:r>
      <w:r w:rsidR="00A76B91" w:rsidRPr="00C1181E">
        <w:rPr>
          <w:rFonts w:ascii="Times New Roman" w:hAnsi="Times New Roman" w:cs="Times New Roman"/>
          <w:sz w:val="20"/>
          <w:szCs w:val="20"/>
        </w:rPr>
        <w:t xml:space="preserve"> </w:t>
      </w:r>
      <w:r w:rsidR="00D85C7C">
        <w:rPr>
          <w:rFonts w:ascii="Times New Roman" w:hAnsi="Times New Roman" w:cs="Times New Roman"/>
          <w:sz w:val="20"/>
          <w:szCs w:val="20"/>
        </w:rPr>
        <w:t>indicador</w:t>
      </w:r>
      <w:r w:rsidR="003C5CAA">
        <w:rPr>
          <w:rFonts w:ascii="Times New Roman" w:hAnsi="Times New Roman" w:cs="Times New Roman"/>
          <w:sz w:val="20"/>
          <w:szCs w:val="20"/>
        </w:rPr>
        <w:t>es</w:t>
      </w:r>
      <w:r w:rsidR="00D85C7C">
        <w:rPr>
          <w:rFonts w:ascii="Times New Roman" w:hAnsi="Times New Roman" w:cs="Times New Roman"/>
          <w:sz w:val="20"/>
          <w:szCs w:val="20"/>
        </w:rPr>
        <w:t xml:space="preserve"> de desempeño. Asimismo, e</w:t>
      </w:r>
      <w:r w:rsidR="00C617FA" w:rsidRPr="00C1181E">
        <w:rPr>
          <w:rFonts w:ascii="Times New Roman" w:hAnsi="Times New Roman" w:cs="Times New Roman"/>
          <w:sz w:val="20"/>
          <w:szCs w:val="20"/>
        </w:rPr>
        <w:t xml:space="preserve">ncuentra </w:t>
      </w:r>
      <w:r w:rsidR="00D85C7C">
        <w:rPr>
          <w:rFonts w:ascii="Times New Roman" w:hAnsi="Times New Roman" w:cs="Times New Roman"/>
          <w:sz w:val="20"/>
          <w:szCs w:val="20"/>
        </w:rPr>
        <w:t xml:space="preserve">una </w:t>
      </w:r>
      <w:r w:rsidR="00C617FA" w:rsidRPr="00C1181E">
        <w:rPr>
          <w:rFonts w:ascii="Times New Roman" w:hAnsi="Times New Roman" w:cs="Times New Roman"/>
          <w:sz w:val="20"/>
          <w:szCs w:val="20"/>
        </w:rPr>
        <w:t xml:space="preserve">relación </w:t>
      </w:r>
      <w:r w:rsidR="00D85C7C">
        <w:rPr>
          <w:rFonts w:ascii="Times New Roman" w:hAnsi="Times New Roman" w:cs="Times New Roman"/>
          <w:sz w:val="20"/>
          <w:szCs w:val="20"/>
        </w:rPr>
        <w:t xml:space="preserve">estadísticamente </w:t>
      </w:r>
      <w:r w:rsidR="00C617FA" w:rsidRPr="00C1181E">
        <w:rPr>
          <w:rFonts w:ascii="Times New Roman" w:hAnsi="Times New Roman" w:cs="Times New Roman"/>
          <w:sz w:val="20"/>
          <w:szCs w:val="20"/>
        </w:rPr>
        <w:t>significativa con el desliz de las TTM</w:t>
      </w:r>
      <w:r w:rsidRPr="00C1181E">
        <w:rPr>
          <w:rFonts w:ascii="Times New Roman" w:hAnsi="Times New Roman" w:cs="Times New Roman"/>
          <w:sz w:val="20"/>
          <w:szCs w:val="20"/>
        </w:rPr>
        <w:t xml:space="preserve">. </w:t>
      </w:r>
      <w:r w:rsidR="00D85C7C">
        <w:rPr>
          <w:rFonts w:ascii="Times New Roman" w:hAnsi="Times New Roman" w:cs="Times New Roman"/>
          <w:sz w:val="20"/>
          <w:szCs w:val="20"/>
        </w:rPr>
        <w:t>En el caso de México no se encuentr</w:t>
      </w:r>
      <w:r w:rsidRPr="00C1181E">
        <w:rPr>
          <w:rFonts w:ascii="Times New Roman" w:hAnsi="Times New Roman" w:cs="Times New Roman"/>
          <w:sz w:val="20"/>
          <w:szCs w:val="20"/>
        </w:rPr>
        <w:t xml:space="preserve">a </w:t>
      </w:r>
      <w:r w:rsidR="004E109C" w:rsidRPr="00C1181E">
        <w:rPr>
          <w:rFonts w:ascii="Times New Roman" w:hAnsi="Times New Roman" w:cs="Times New Roman"/>
          <w:sz w:val="20"/>
          <w:szCs w:val="20"/>
        </w:rPr>
        <w:t xml:space="preserve">una </w:t>
      </w:r>
      <w:r w:rsidRPr="00C1181E">
        <w:rPr>
          <w:rFonts w:ascii="Times New Roman" w:hAnsi="Times New Roman" w:cs="Times New Roman"/>
          <w:sz w:val="20"/>
          <w:szCs w:val="20"/>
        </w:rPr>
        <w:t xml:space="preserve">relación estadísticamente significativa </w:t>
      </w:r>
      <w:r w:rsidR="004E109C" w:rsidRPr="00C1181E">
        <w:rPr>
          <w:rFonts w:ascii="Times New Roman" w:hAnsi="Times New Roman" w:cs="Times New Roman"/>
          <w:sz w:val="20"/>
          <w:szCs w:val="20"/>
        </w:rPr>
        <w:t xml:space="preserve">con AR, sino con </w:t>
      </w:r>
      <w:r w:rsidRPr="00C1181E">
        <w:rPr>
          <w:rFonts w:ascii="Times New Roman" w:hAnsi="Times New Roman" w:cs="Times New Roman"/>
          <w:sz w:val="20"/>
          <w:szCs w:val="20"/>
        </w:rPr>
        <w:t xml:space="preserve">el valor </w:t>
      </w:r>
      <w:r w:rsidR="00ED20D4" w:rsidRPr="00C1181E">
        <w:rPr>
          <w:rFonts w:ascii="Times New Roman" w:hAnsi="Times New Roman" w:cs="Times New Roman"/>
          <w:sz w:val="20"/>
          <w:szCs w:val="20"/>
        </w:rPr>
        <w:t>rezagado de las participaciones de los entrantes</w:t>
      </w:r>
      <w:r w:rsidR="004E109C" w:rsidRPr="00C1181E">
        <w:rPr>
          <w:rFonts w:ascii="Times New Roman" w:hAnsi="Times New Roman" w:cs="Times New Roman"/>
          <w:sz w:val="20"/>
          <w:szCs w:val="20"/>
        </w:rPr>
        <w:t xml:space="preserve"> y </w:t>
      </w:r>
      <w:r w:rsidR="00C617FA" w:rsidRPr="00C1181E">
        <w:rPr>
          <w:rFonts w:ascii="Times New Roman" w:hAnsi="Times New Roman" w:cs="Times New Roman"/>
          <w:sz w:val="20"/>
          <w:szCs w:val="20"/>
        </w:rPr>
        <w:t xml:space="preserve">sobretodo con el nivel de </w:t>
      </w:r>
      <w:r w:rsidR="004E109C" w:rsidRPr="00C1181E">
        <w:rPr>
          <w:rFonts w:ascii="Times New Roman" w:hAnsi="Times New Roman" w:cs="Times New Roman"/>
          <w:sz w:val="20"/>
          <w:szCs w:val="20"/>
        </w:rPr>
        <w:t>TTM</w:t>
      </w:r>
      <w:r w:rsidR="00C617FA" w:rsidRPr="00C1181E">
        <w:rPr>
          <w:rFonts w:ascii="Times New Roman" w:hAnsi="Times New Roman" w:cs="Times New Roman"/>
          <w:sz w:val="20"/>
          <w:szCs w:val="20"/>
        </w:rPr>
        <w:t>, ya que esta variable presenta el mayor coeficiente.</w:t>
      </w:r>
    </w:p>
    <w:p w:rsidR="009E7A9B" w:rsidRPr="00C1181E" w:rsidRDefault="009E7A9B" w:rsidP="00B71AE9">
      <w:pPr>
        <w:widowControl w:val="0"/>
        <w:autoSpaceDE w:val="0"/>
        <w:autoSpaceDN w:val="0"/>
        <w:adjustRightInd w:val="0"/>
        <w:spacing w:after="120" w:line="240" w:lineRule="auto"/>
        <w:jc w:val="both"/>
        <w:rPr>
          <w:rFonts w:ascii="Times New Roman" w:hAnsi="Times New Roman" w:cs="Times New Roman"/>
          <w:sz w:val="20"/>
          <w:szCs w:val="20"/>
        </w:rPr>
      </w:pPr>
      <w:r w:rsidRPr="00C1181E">
        <w:rPr>
          <w:rFonts w:ascii="Times New Roman" w:hAnsi="Times New Roman" w:cs="Times New Roman"/>
          <w:sz w:val="20"/>
          <w:szCs w:val="20"/>
        </w:rPr>
        <w:t xml:space="preserve">En Europa la TTM de los entrantes se elevó para permitirles un mayor margen. Al mismo tiempo, se redujo la TTM de los </w:t>
      </w:r>
      <w:r w:rsidR="00D85C7C">
        <w:rPr>
          <w:rFonts w:ascii="Times New Roman" w:hAnsi="Times New Roman" w:cs="Times New Roman"/>
          <w:sz w:val="20"/>
          <w:szCs w:val="20"/>
        </w:rPr>
        <w:t>operadores dominante</w:t>
      </w:r>
      <w:r w:rsidRPr="00C1181E">
        <w:rPr>
          <w:rFonts w:ascii="Times New Roman" w:hAnsi="Times New Roman" w:cs="Times New Roman"/>
          <w:sz w:val="20"/>
          <w:szCs w:val="20"/>
        </w:rPr>
        <w:t xml:space="preserve">s a su nivel de costos. En México se redujeron ambas TTM, sin embargo la del </w:t>
      </w:r>
      <w:r w:rsidR="000C0221" w:rsidRPr="00C1181E">
        <w:rPr>
          <w:rFonts w:ascii="Times New Roman" w:hAnsi="Times New Roman" w:cs="Times New Roman"/>
          <w:sz w:val="20"/>
          <w:szCs w:val="20"/>
        </w:rPr>
        <w:t>preponderante</w:t>
      </w:r>
      <w:r w:rsidRPr="00C1181E">
        <w:rPr>
          <w:rFonts w:ascii="Times New Roman" w:hAnsi="Times New Roman" w:cs="Times New Roman"/>
          <w:sz w:val="20"/>
          <w:szCs w:val="20"/>
        </w:rPr>
        <w:t xml:space="preserve"> disminuyó más y es desde 20</w:t>
      </w:r>
      <w:r w:rsidR="004C1FD9" w:rsidRPr="00C1181E">
        <w:rPr>
          <w:rFonts w:ascii="Times New Roman" w:hAnsi="Times New Roman" w:cs="Times New Roman"/>
          <w:sz w:val="20"/>
          <w:szCs w:val="20"/>
        </w:rPr>
        <w:t>15 igual a cero. Lo anterior</w:t>
      </w:r>
      <w:r w:rsidR="00C617FA" w:rsidRPr="00C1181E">
        <w:rPr>
          <w:rFonts w:ascii="Times New Roman" w:hAnsi="Times New Roman" w:cs="Times New Roman"/>
          <w:sz w:val="20"/>
          <w:szCs w:val="20"/>
        </w:rPr>
        <w:t>, junto con factores estructurales,</w:t>
      </w:r>
      <w:r w:rsidRPr="00C1181E">
        <w:rPr>
          <w:rFonts w:ascii="Times New Roman" w:hAnsi="Times New Roman" w:cs="Times New Roman"/>
          <w:sz w:val="20"/>
          <w:szCs w:val="20"/>
        </w:rPr>
        <w:t xml:space="preserve"> puede explicar las diferencias en</w:t>
      </w:r>
      <w:r w:rsidRPr="005D226A">
        <w:rPr>
          <w:rFonts w:ascii="Times New Roman" w:hAnsi="Times New Roman" w:cs="Times New Roman"/>
          <w:sz w:val="24"/>
          <w:szCs w:val="24"/>
        </w:rPr>
        <w:t xml:space="preserve"> </w:t>
      </w:r>
      <w:r w:rsidRPr="00C1181E">
        <w:rPr>
          <w:rFonts w:ascii="Times New Roman" w:hAnsi="Times New Roman" w:cs="Times New Roman"/>
          <w:sz w:val="20"/>
          <w:szCs w:val="20"/>
        </w:rPr>
        <w:t xml:space="preserve">los resultados obtenidos, respecto a </w:t>
      </w:r>
      <w:proofErr w:type="spellStart"/>
      <w:r w:rsidRPr="00C1181E">
        <w:rPr>
          <w:rFonts w:ascii="Times New Roman" w:hAnsi="Times New Roman" w:cs="Times New Roman"/>
          <w:sz w:val="20"/>
          <w:szCs w:val="20"/>
        </w:rPr>
        <w:t>Baranes</w:t>
      </w:r>
      <w:proofErr w:type="spellEnd"/>
      <w:r w:rsidRPr="00C1181E">
        <w:rPr>
          <w:rFonts w:ascii="Times New Roman" w:hAnsi="Times New Roman" w:cs="Times New Roman"/>
          <w:sz w:val="20"/>
          <w:szCs w:val="20"/>
        </w:rPr>
        <w:t xml:space="preserve">. </w:t>
      </w:r>
    </w:p>
    <w:p w:rsidR="00201DD8" w:rsidRPr="00C1181E" w:rsidRDefault="00CF13BA" w:rsidP="00B71AE9">
      <w:pPr>
        <w:spacing w:after="120" w:line="240" w:lineRule="auto"/>
        <w:jc w:val="both"/>
        <w:rPr>
          <w:rFonts w:ascii="Times New Roman" w:hAnsi="Times New Roman" w:cs="Times New Roman"/>
          <w:sz w:val="20"/>
          <w:szCs w:val="20"/>
        </w:rPr>
      </w:pPr>
      <w:r w:rsidRPr="00C1181E">
        <w:rPr>
          <w:rFonts w:ascii="Times New Roman" w:hAnsi="Times New Roman" w:cs="Times New Roman"/>
          <w:sz w:val="20"/>
          <w:szCs w:val="20"/>
        </w:rPr>
        <w:t>En suma, l</w:t>
      </w:r>
      <w:r w:rsidR="00201DD8" w:rsidRPr="00C1181E">
        <w:rPr>
          <w:rFonts w:ascii="Times New Roman" w:hAnsi="Times New Roman" w:cs="Times New Roman"/>
          <w:sz w:val="20"/>
          <w:szCs w:val="20"/>
        </w:rPr>
        <w:t>os resultados econométricos obtenidos a par</w:t>
      </w:r>
      <w:r w:rsidR="005A1CD1" w:rsidRPr="00C1181E">
        <w:rPr>
          <w:rFonts w:ascii="Times New Roman" w:hAnsi="Times New Roman" w:cs="Times New Roman"/>
          <w:sz w:val="20"/>
          <w:szCs w:val="20"/>
        </w:rPr>
        <w:t xml:space="preserve">tir de las ecuaciones 1 y 2 </w:t>
      </w:r>
      <w:r w:rsidR="00201DD8" w:rsidRPr="00C1181E">
        <w:rPr>
          <w:rFonts w:ascii="Times New Roman" w:hAnsi="Times New Roman" w:cs="Times New Roman"/>
          <w:sz w:val="20"/>
          <w:szCs w:val="20"/>
        </w:rPr>
        <w:t xml:space="preserve">permiten deducir </w:t>
      </w:r>
      <w:r w:rsidR="003C6812" w:rsidRPr="00C1181E">
        <w:rPr>
          <w:rFonts w:ascii="Times New Roman" w:hAnsi="Times New Roman" w:cs="Times New Roman"/>
          <w:sz w:val="20"/>
          <w:szCs w:val="20"/>
        </w:rPr>
        <w:t xml:space="preserve">para el caso mexicano </w:t>
      </w:r>
      <w:r w:rsidR="00201DD8" w:rsidRPr="00C1181E">
        <w:rPr>
          <w:rFonts w:ascii="Times New Roman" w:hAnsi="Times New Roman" w:cs="Times New Roman"/>
          <w:sz w:val="20"/>
          <w:szCs w:val="20"/>
        </w:rPr>
        <w:t xml:space="preserve">los </w:t>
      </w:r>
      <w:r w:rsidR="005B6ECD" w:rsidRPr="00C1181E">
        <w:rPr>
          <w:rFonts w:ascii="Times New Roman" w:hAnsi="Times New Roman" w:cs="Times New Roman"/>
          <w:sz w:val="20"/>
          <w:szCs w:val="20"/>
        </w:rPr>
        <w:t xml:space="preserve">siguientes </w:t>
      </w:r>
      <w:r w:rsidR="00201DD8" w:rsidRPr="00C1181E">
        <w:rPr>
          <w:rFonts w:ascii="Times New Roman" w:hAnsi="Times New Roman" w:cs="Times New Roman"/>
          <w:sz w:val="20"/>
          <w:szCs w:val="20"/>
        </w:rPr>
        <w:t xml:space="preserve">resultados </w:t>
      </w:r>
      <w:r w:rsidR="005A1CD1" w:rsidRPr="00C1181E">
        <w:rPr>
          <w:rFonts w:ascii="Times New Roman" w:hAnsi="Times New Roman" w:cs="Times New Roman"/>
          <w:sz w:val="20"/>
          <w:szCs w:val="20"/>
        </w:rPr>
        <w:t>de</w:t>
      </w:r>
      <w:r w:rsidR="003C6812" w:rsidRPr="00C1181E">
        <w:rPr>
          <w:rFonts w:ascii="Times New Roman" w:hAnsi="Times New Roman" w:cs="Times New Roman"/>
          <w:sz w:val="20"/>
          <w:szCs w:val="20"/>
        </w:rPr>
        <w:t xml:space="preserve"> la aplicación de TTM asimétricas</w:t>
      </w:r>
      <w:r w:rsidR="007C1AE0" w:rsidRPr="00C1181E">
        <w:rPr>
          <w:rFonts w:ascii="Times New Roman" w:hAnsi="Times New Roman" w:cs="Times New Roman"/>
          <w:sz w:val="20"/>
          <w:szCs w:val="20"/>
        </w:rPr>
        <w:t>.</w:t>
      </w:r>
    </w:p>
    <w:p w:rsidR="00366BBA" w:rsidRPr="00C1181E" w:rsidRDefault="00366BBA" w:rsidP="007C60FE">
      <w:pPr>
        <w:spacing w:after="120" w:line="240" w:lineRule="auto"/>
        <w:jc w:val="both"/>
        <w:rPr>
          <w:rFonts w:ascii="Times New Roman" w:hAnsi="Times New Roman" w:cs="Times New Roman"/>
          <w:sz w:val="20"/>
          <w:szCs w:val="20"/>
        </w:rPr>
      </w:pPr>
      <w:r w:rsidRPr="00C1181E">
        <w:rPr>
          <w:rFonts w:ascii="Times New Roman" w:hAnsi="Times New Roman" w:cs="Times New Roman"/>
          <w:b/>
          <w:sz w:val="20"/>
          <w:szCs w:val="20"/>
        </w:rPr>
        <w:t>En general</w:t>
      </w:r>
      <w:r w:rsidR="00BB1B9C" w:rsidRPr="00C1181E">
        <w:rPr>
          <w:rFonts w:ascii="Times New Roman" w:hAnsi="Times New Roman" w:cs="Times New Roman"/>
          <w:sz w:val="20"/>
          <w:szCs w:val="20"/>
        </w:rPr>
        <w:t xml:space="preserve"> (Ecuación 1, ver </w:t>
      </w:r>
      <w:r w:rsidR="002C12F8" w:rsidRPr="00C1181E">
        <w:rPr>
          <w:rFonts w:ascii="Times New Roman" w:hAnsi="Times New Roman" w:cs="Times New Roman"/>
          <w:sz w:val="20"/>
          <w:szCs w:val="20"/>
        </w:rPr>
        <w:t>Cuadro 1</w:t>
      </w:r>
      <w:r w:rsidR="0099488F" w:rsidRPr="00C1181E">
        <w:rPr>
          <w:rFonts w:ascii="Times New Roman" w:hAnsi="Times New Roman" w:cs="Times New Roman"/>
          <w:sz w:val="20"/>
          <w:szCs w:val="20"/>
        </w:rPr>
        <w:t>)</w:t>
      </w:r>
      <w:r w:rsidRPr="00C1181E">
        <w:rPr>
          <w:rFonts w:ascii="Times New Roman" w:hAnsi="Times New Roman" w:cs="Times New Roman"/>
          <w:sz w:val="20"/>
          <w:szCs w:val="20"/>
        </w:rPr>
        <w:t xml:space="preserve">: </w:t>
      </w:r>
    </w:p>
    <w:p w:rsidR="00412E73" w:rsidRPr="00C1181E" w:rsidRDefault="00201DD8" w:rsidP="008757E0">
      <w:pPr>
        <w:pStyle w:val="Prrafodelista"/>
        <w:numPr>
          <w:ilvl w:val="0"/>
          <w:numId w:val="45"/>
        </w:numPr>
        <w:spacing w:after="80" w:line="240" w:lineRule="auto"/>
        <w:ind w:left="193" w:hanging="193"/>
        <w:jc w:val="both"/>
        <w:rPr>
          <w:rFonts w:ascii="Times New Roman" w:hAnsi="Times New Roman" w:cs="Times New Roman"/>
          <w:sz w:val="20"/>
          <w:szCs w:val="20"/>
        </w:rPr>
      </w:pPr>
      <w:r w:rsidRPr="00C1181E">
        <w:rPr>
          <w:rFonts w:ascii="Times New Roman" w:hAnsi="Times New Roman" w:cs="Times New Roman"/>
          <w:sz w:val="20"/>
          <w:szCs w:val="20"/>
        </w:rPr>
        <w:lastRenderedPageBreak/>
        <w:t xml:space="preserve">El </w:t>
      </w:r>
      <w:proofErr w:type="spellStart"/>
      <w:r w:rsidRPr="00C1181E">
        <w:rPr>
          <w:rFonts w:ascii="Times New Roman" w:hAnsi="Times New Roman" w:cs="Times New Roman"/>
          <w:sz w:val="20"/>
          <w:szCs w:val="20"/>
        </w:rPr>
        <w:t>IpM</w:t>
      </w:r>
      <w:proofErr w:type="spellEnd"/>
      <w:r w:rsidRPr="00C1181E">
        <w:rPr>
          <w:rFonts w:ascii="Times New Roman" w:hAnsi="Times New Roman" w:cs="Times New Roman"/>
          <w:sz w:val="20"/>
          <w:szCs w:val="20"/>
        </w:rPr>
        <w:t xml:space="preserve"> promedio del servicio móvil </w:t>
      </w:r>
      <w:r w:rsidR="005F7CA6" w:rsidRPr="00C1181E">
        <w:rPr>
          <w:rFonts w:ascii="Times New Roman" w:hAnsi="Times New Roman" w:cs="Times New Roman"/>
          <w:sz w:val="20"/>
          <w:szCs w:val="20"/>
        </w:rPr>
        <w:t xml:space="preserve">(precio aproximado del servicio final) </w:t>
      </w:r>
      <w:r w:rsidRPr="00C1181E">
        <w:rPr>
          <w:rFonts w:ascii="Times New Roman" w:hAnsi="Times New Roman" w:cs="Times New Roman"/>
          <w:sz w:val="20"/>
          <w:szCs w:val="20"/>
        </w:rPr>
        <w:t>se relaciona de man</w:t>
      </w:r>
      <w:r w:rsidR="00412E73" w:rsidRPr="00C1181E">
        <w:rPr>
          <w:rFonts w:ascii="Times New Roman" w:hAnsi="Times New Roman" w:cs="Times New Roman"/>
          <w:sz w:val="20"/>
          <w:szCs w:val="20"/>
        </w:rPr>
        <w:t>era positiva con las TTM promedio</w:t>
      </w:r>
      <w:r w:rsidR="00550F76" w:rsidRPr="00C1181E">
        <w:rPr>
          <w:rFonts w:ascii="Times New Roman" w:hAnsi="Times New Roman" w:cs="Times New Roman"/>
          <w:sz w:val="20"/>
          <w:szCs w:val="20"/>
        </w:rPr>
        <w:t xml:space="preserve">. </w:t>
      </w:r>
    </w:p>
    <w:p w:rsidR="00AD2A6A" w:rsidRPr="00C1181E" w:rsidRDefault="00412E73" w:rsidP="008757E0">
      <w:pPr>
        <w:pStyle w:val="Prrafodelista"/>
        <w:numPr>
          <w:ilvl w:val="0"/>
          <w:numId w:val="45"/>
        </w:numPr>
        <w:spacing w:after="80" w:line="240" w:lineRule="auto"/>
        <w:ind w:left="193" w:hanging="193"/>
        <w:jc w:val="both"/>
        <w:rPr>
          <w:rFonts w:ascii="Times New Roman" w:hAnsi="Times New Roman" w:cs="Times New Roman"/>
          <w:sz w:val="20"/>
          <w:szCs w:val="20"/>
        </w:rPr>
      </w:pPr>
      <w:r w:rsidRPr="00C1181E">
        <w:rPr>
          <w:rFonts w:ascii="Times New Roman" w:hAnsi="Times New Roman" w:cs="Times New Roman"/>
          <w:sz w:val="20"/>
          <w:szCs w:val="20"/>
        </w:rPr>
        <w:t>L</w:t>
      </w:r>
      <w:r w:rsidR="00550F76" w:rsidRPr="00C1181E">
        <w:rPr>
          <w:rFonts w:ascii="Times New Roman" w:hAnsi="Times New Roman" w:cs="Times New Roman"/>
          <w:sz w:val="20"/>
          <w:szCs w:val="20"/>
        </w:rPr>
        <w:t>a asimetr</w:t>
      </w:r>
      <w:r w:rsidR="00541D8E" w:rsidRPr="00C1181E">
        <w:rPr>
          <w:rFonts w:ascii="Times New Roman" w:hAnsi="Times New Roman" w:cs="Times New Roman"/>
          <w:sz w:val="20"/>
          <w:szCs w:val="20"/>
        </w:rPr>
        <w:t>ía</w:t>
      </w:r>
      <w:r w:rsidRPr="00C1181E">
        <w:rPr>
          <w:rFonts w:ascii="Times New Roman" w:hAnsi="Times New Roman" w:cs="Times New Roman"/>
          <w:sz w:val="20"/>
          <w:szCs w:val="20"/>
        </w:rPr>
        <w:t xml:space="preserve"> reduce el precio al consumidor medido por el </w:t>
      </w:r>
      <w:proofErr w:type="spellStart"/>
      <w:r w:rsidRPr="00C1181E">
        <w:rPr>
          <w:rFonts w:ascii="Times New Roman" w:hAnsi="Times New Roman" w:cs="Times New Roman"/>
          <w:sz w:val="20"/>
          <w:szCs w:val="20"/>
        </w:rPr>
        <w:t>IpM</w:t>
      </w:r>
      <w:proofErr w:type="spellEnd"/>
      <w:r w:rsidRPr="00C1181E">
        <w:rPr>
          <w:rFonts w:ascii="Times New Roman" w:hAnsi="Times New Roman" w:cs="Times New Roman"/>
          <w:sz w:val="20"/>
          <w:szCs w:val="20"/>
        </w:rPr>
        <w:t xml:space="preserve">, ya que existe una relación estadísticamente significativa entre ambas variables. </w:t>
      </w:r>
      <w:r w:rsidR="00550F76" w:rsidRPr="00C1181E">
        <w:rPr>
          <w:rFonts w:ascii="Times New Roman" w:hAnsi="Times New Roman" w:cs="Times New Roman"/>
          <w:sz w:val="20"/>
          <w:szCs w:val="20"/>
        </w:rPr>
        <w:t xml:space="preserve"> </w:t>
      </w:r>
      <w:r w:rsidR="00201DD8" w:rsidRPr="00C1181E">
        <w:rPr>
          <w:rFonts w:ascii="Times New Roman" w:hAnsi="Times New Roman" w:cs="Times New Roman"/>
          <w:sz w:val="20"/>
          <w:szCs w:val="20"/>
        </w:rPr>
        <w:t xml:space="preserve"> </w:t>
      </w:r>
    </w:p>
    <w:p w:rsidR="00201DD8" w:rsidRPr="00C1181E" w:rsidRDefault="0099488F" w:rsidP="008757E0">
      <w:pPr>
        <w:pStyle w:val="Prrafodelista"/>
        <w:numPr>
          <w:ilvl w:val="0"/>
          <w:numId w:val="45"/>
        </w:numPr>
        <w:spacing w:after="80" w:line="240" w:lineRule="auto"/>
        <w:ind w:left="193" w:hanging="193"/>
        <w:jc w:val="both"/>
        <w:rPr>
          <w:rFonts w:ascii="Times New Roman" w:hAnsi="Times New Roman" w:cs="Times New Roman"/>
          <w:sz w:val="20"/>
          <w:szCs w:val="20"/>
        </w:rPr>
      </w:pPr>
      <w:r w:rsidRPr="00C1181E">
        <w:rPr>
          <w:rFonts w:ascii="Times New Roman" w:hAnsi="Times New Roman" w:cs="Times New Roman"/>
          <w:sz w:val="20"/>
          <w:szCs w:val="20"/>
        </w:rPr>
        <w:t>La</w:t>
      </w:r>
      <w:r w:rsidR="00201DD8" w:rsidRPr="00C1181E">
        <w:rPr>
          <w:rFonts w:ascii="Times New Roman" w:hAnsi="Times New Roman" w:cs="Times New Roman"/>
          <w:sz w:val="20"/>
          <w:szCs w:val="20"/>
        </w:rPr>
        <w:t xml:space="preserve"> concentración en el mercado (</w:t>
      </w:r>
      <w:r w:rsidR="003C6812" w:rsidRPr="00C1181E">
        <w:rPr>
          <w:rFonts w:ascii="Times New Roman" w:hAnsi="Times New Roman" w:cs="Times New Roman"/>
          <w:sz w:val="20"/>
          <w:szCs w:val="20"/>
        </w:rPr>
        <w:t xml:space="preserve">IHH) </w:t>
      </w:r>
      <w:r w:rsidR="00CB129A">
        <w:rPr>
          <w:rFonts w:ascii="Times New Roman" w:hAnsi="Times New Roman" w:cs="Times New Roman"/>
          <w:sz w:val="20"/>
          <w:szCs w:val="20"/>
        </w:rPr>
        <w:t>incide</w:t>
      </w:r>
      <w:r w:rsidR="003C6812" w:rsidRPr="00C1181E">
        <w:rPr>
          <w:rFonts w:ascii="Times New Roman" w:hAnsi="Times New Roman" w:cs="Times New Roman"/>
          <w:sz w:val="20"/>
          <w:szCs w:val="20"/>
        </w:rPr>
        <w:t xml:space="preserve"> en mayor medida </w:t>
      </w:r>
      <w:r w:rsidR="00201DD8" w:rsidRPr="00C1181E">
        <w:rPr>
          <w:rFonts w:ascii="Times New Roman" w:hAnsi="Times New Roman" w:cs="Times New Roman"/>
          <w:sz w:val="20"/>
          <w:szCs w:val="20"/>
        </w:rPr>
        <w:t xml:space="preserve">el </w:t>
      </w:r>
      <w:proofErr w:type="spellStart"/>
      <w:r w:rsidR="00201DD8" w:rsidRPr="00C1181E">
        <w:rPr>
          <w:rFonts w:ascii="Times New Roman" w:hAnsi="Times New Roman" w:cs="Times New Roman"/>
          <w:sz w:val="20"/>
          <w:szCs w:val="20"/>
        </w:rPr>
        <w:t>IpM</w:t>
      </w:r>
      <w:proofErr w:type="spellEnd"/>
      <w:r w:rsidR="00201DD8" w:rsidRPr="00C1181E">
        <w:rPr>
          <w:rFonts w:ascii="Times New Roman" w:hAnsi="Times New Roman" w:cs="Times New Roman"/>
          <w:sz w:val="20"/>
          <w:szCs w:val="20"/>
        </w:rPr>
        <w:t xml:space="preserve"> y por ende el precio del servicio. </w:t>
      </w:r>
      <w:r w:rsidR="003C6812" w:rsidRPr="00C1181E">
        <w:rPr>
          <w:rFonts w:ascii="Times New Roman" w:hAnsi="Times New Roman" w:cs="Times New Roman"/>
          <w:sz w:val="20"/>
          <w:szCs w:val="20"/>
        </w:rPr>
        <w:t xml:space="preserve">Esta conclusión es importante para la política regulatoria, </w:t>
      </w:r>
      <w:r w:rsidRPr="00C1181E">
        <w:rPr>
          <w:rFonts w:ascii="Times New Roman" w:hAnsi="Times New Roman" w:cs="Times New Roman"/>
          <w:sz w:val="20"/>
          <w:szCs w:val="20"/>
        </w:rPr>
        <w:t>ya</w:t>
      </w:r>
      <w:r w:rsidR="003C6812" w:rsidRPr="00C1181E">
        <w:rPr>
          <w:rFonts w:ascii="Times New Roman" w:hAnsi="Times New Roman" w:cs="Times New Roman"/>
          <w:sz w:val="20"/>
          <w:szCs w:val="20"/>
        </w:rPr>
        <w:t xml:space="preserve"> que el efecto de la aplicación de TTM asimétricas es acotado, por lo que después de un primer efecto favorable,  los precios disminuirán sólo en la medida que</w:t>
      </w:r>
      <w:r w:rsidR="00CB129A">
        <w:rPr>
          <w:rFonts w:ascii="Times New Roman" w:hAnsi="Times New Roman" w:cs="Times New Roman"/>
          <w:sz w:val="20"/>
          <w:szCs w:val="20"/>
        </w:rPr>
        <w:t xml:space="preserve"> se fortalezca la competencia entre operadores</w:t>
      </w:r>
      <w:r w:rsidR="003C6812" w:rsidRPr="00C1181E">
        <w:rPr>
          <w:rFonts w:ascii="Times New Roman" w:hAnsi="Times New Roman" w:cs="Times New Roman"/>
          <w:sz w:val="20"/>
          <w:szCs w:val="20"/>
        </w:rPr>
        <w:t xml:space="preserve">. </w:t>
      </w:r>
    </w:p>
    <w:p w:rsidR="00366BBA" w:rsidRPr="00C1181E" w:rsidRDefault="00366BBA" w:rsidP="007C60FE">
      <w:pPr>
        <w:spacing w:after="120" w:line="240" w:lineRule="auto"/>
        <w:jc w:val="both"/>
        <w:rPr>
          <w:rFonts w:ascii="Times New Roman" w:hAnsi="Times New Roman" w:cs="Times New Roman"/>
          <w:sz w:val="20"/>
          <w:szCs w:val="20"/>
        </w:rPr>
      </w:pPr>
      <w:r w:rsidRPr="00C1181E">
        <w:rPr>
          <w:rFonts w:ascii="Times New Roman" w:hAnsi="Times New Roman" w:cs="Times New Roman"/>
          <w:b/>
          <w:sz w:val="20"/>
          <w:szCs w:val="20"/>
        </w:rPr>
        <w:t xml:space="preserve">Para el </w:t>
      </w:r>
      <w:r w:rsidR="000C0221" w:rsidRPr="00C1181E">
        <w:rPr>
          <w:rFonts w:ascii="Times New Roman" w:hAnsi="Times New Roman" w:cs="Times New Roman"/>
          <w:b/>
          <w:sz w:val="20"/>
          <w:szCs w:val="20"/>
        </w:rPr>
        <w:t>Preponderante</w:t>
      </w:r>
      <w:r w:rsidR="00BB1B9C" w:rsidRPr="00C1181E">
        <w:rPr>
          <w:rFonts w:ascii="Times New Roman" w:hAnsi="Times New Roman" w:cs="Times New Roman"/>
          <w:sz w:val="20"/>
          <w:szCs w:val="20"/>
        </w:rPr>
        <w:t xml:space="preserve"> </w:t>
      </w:r>
      <w:r w:rsidR="00650735" w:rsidRPr="00C1181E">
        <w:rPr>
          <w:rFonts w:ascii="Times New Roman" w:hAnsi="Times New Roman" w:cs="Times New Roman"/>
          <w:sz w:val="20"/>
          <w:szCs w:val="20"/>
        </w:rPr>
        <w:t>(Ecuaciones 2 a-d; Cuadro 2</w:t>
      </w:r>
      <w:r w:rsidR="00BB1B9C" w:rsidRPr="00C1181E">
        <w:rPr>
          <w:rFonts w:ascii="Times New Roman" w:hAnsi="Times New Roman" w:cs="Times New Roman"/>
          <w:sz w:val="20"/>
          <w:szCs w:val="20"/>
        </w:rPr>
        <w:t>)</w:t>
      </w:r>
      <w:r w:rsidRPr="00C1181E">
        <w:rPr>
          <w:rFonts w:ascii="Times New Roman" w:hAnsi="Times New Roman" w:cs="Times New Roman"/>
          <w:sz w:val="20"/>
          <w:szCs w:val="20"/>
        </w:rPr>
        <w:t xml:space="preserve">: </w:t>
      </w:r>
    </w:p>
    <w:p w:rsidR="00650735" w:rsidRPr="00C1181E" w:rsidRDefault="00327FF3" w:rsidP="00C1181E">
      <w:pPr>
        <w:pStyle w:val="Prrafodelista"/>
        <w:numPr>
          <w:ilvl w:val="0"/>
          <w:numId w:val="45"/>
        </w:numPr>
        <w:spacing w:after="80" w:line="240" w:lineRule="auto"/>
        <w:ind w:left="193" w:hanging="193"/>
        <w:jc w:val="both"/>
        <w:rPr>
          <w:rFonts w:ascii="Times New Roman" w:eastAsiaTheme="minorEastAsia" w:hAnsi="Times New Roman" w:cs="Times New Roman"/>
          <w:sz w:val="20"/>
          <w:szCs w:val="20"/>
        </w:rPr>
      </w:pPr>
      <w:r w:rsidRPr="00C1181E">
        <w:rPr>
          <w:rFonts w:ascii="Times New Roman" w:hAnsi="Times New Roman" w:cs="Times New Roman"/>
          <w:sz w:val="20"/>
          <w:szCs w:val="20"/>
        </w:rPr>
        <w:t xml:space="preserve">El margen </w:t>
      </w:r>
      <w:proofErr w:type="spellStart"/>
      <w:r w:rsidR="00CB129A">
        <w:rPr>
          <w:rFonts w:ascii="Times New Roman" w:hAnsi="Times New Roman" w:cs="Times New Roman"/>
          <w:sz w:val="20"/>
          <w:szCs w:val="20"/>
        </w:rPr>
        <w:t>Ebitda</w:t>
      </w:r>
      <w:proofErr w:type="spellEnd"/>
      <w:r w:rsidR="00CB129A">
        <w:rPr>
          <w:rFonts w:ascii="Times New Roman" w:hAnsi="Times New Roman" w:cs="Times New Roman"/>
          <w:sz w:val="20"/>
          <w:szCs w:val="20"/>
        </w:rPr>
        <w:t xml:space="preserve"> </w:t>
      </w:r>
      <w:r w:rsidRPr="00C1181E">
        <w:rPr>
          <w:rFonts w:ascii="Times New Roman" w:hAnsi="Times New Roman" w:cs="Times New Roman"/>
          <w:sz w:val="20"/>
          <w:szCs w:val="20"/>
        </w:rPr>
        <w:t xml:space="preserve">del </w:t>
      </w:r>
      <w:r w:rsidR="000C0221" w:rsidRPr="00C1181E">
        <w:rPr>
          <w:rFonts w:ascii="Times New Roman" w:hAnsi="Times New Roman" w:cs="Times New Roman"/>
          <w:sz w:val="20"/>
          <w:szCs w:val="20"/>
        </w:rPr>
        <w:t>preponderante</w:t>
      </w:r>
      <w:r w:rsidRPr="00C1181E">
        <w:rPr>
          <w:rFonts w:ascii="Times New Roman" w:hAnsi="Times New Roman" w:cs="Times New Roman"/>
          <w:sz w:val="20"/>
          <w:szCs w:val="20"/>
        </w:rPr>
        <w:t xml:space="preserve"> depende</w:t>
      </w:r>
      <w:r w:rsidR="00CF13BA" w:rsidRPr="00C1181E">
        <w:rPr>
          <w:rFonts w:ascii="Times New Roman" w:hAnsi="Times New Roman" w:cs="Times New Roman"/>
          <w:sz w:val="20"/>
          <w:szCs w:val="20"/>
        </w:rPr>
        <w:t xml:space="preserve"> </w:t>
      </w:r>
      <w:r w:rsidR="00201DD8" w:rsidRPr="00C1181E">
        <w:rPr>
          <w:rFonts w:ascii="Times New Roman" w:hAnsi="Times New Roman" w:cs="Times New Roman"/>
          <w:sz w:val="20"/>
          <w:szCs w:val="20"/>
        </w:rPr>
        <w:t xml:space="preserve">de </w:t>
      </w:r>
      <w:r w:rsidR="00CB129A">
        <w:rPr>
          <w:rFonts w:ascii="Times New Roman" w:hAnsi="Times New Roman" w:cs="Times New Roman"/>
          <w:sz w:val="20"/>
          <w:szCs w:val="20"/>
        </w:rPr>
        <w:t>la TTM que cobra. L</w:t>
      </w:r>
      <w:r w:rsidR="00650735" w:rsidRPr="00C1181E">
        <w:rPr>
          <w:rFonts w:ascii="Times New Roman" w:hAnsi="Times New Roman" w:cs="Times New Roman"/>
          <w:sz w:val="20"/>
          <w:szCs w:val="20"/>
        </w:rPr>
        <w:t xml:space="preserve">a </w:t>
      </w:r>
      <w:r w:rsidR="00E70923" w:rsidRPr="00C1181E">
        <w:rPr>
          <w:rFonts w:ascii="Times New Roman" w:eastAsiaTheme="minorEastAsia" w:hAnsi="Times New Roman" w:cs="Times New Roman"/>
          <w:sz w:val="20"/>
          <w:szCs w:val="20"/>
        </w:rPr>
        <w:t xml:space="preserve">causalidad </w:t>
      </w:r>
      <w:r w:rsidR="00650735" w:rsidRPr="00C1181E">
        <w:rPr>
          <w:rFonts w:ascii="Times New Roman" w:eastAsiaTheme="minorEastAsia" w:hAnsi="Times New Roman" w:cs="Times New Roman"/>
          <w:sz w:val="20"/>
          <w:szCs w:val="20"/>
        </w:rPr>
        <w:t xml:space="preserve">entre estas variables es positiva: a mayor (menor) TTM, mayor (menor) será el margen. </w:t>
      </w:r>
    </w:p>
    <w:p w:rsidR="00366BBA" w:rsidRPr="00C1181E" w:rsidRDefault="00366BBA" w:rsidP="00C1181E">
      <w:pPr>
        <w:pStyle w:val="Prrafodelista"/>
        <w:numPr>
          <w:ilvl w:val="0"/>
          <w:numId w:val="45"/>
        </w:numPr>
        <w:spacing w:after="80" w:line="240" w:lineRule="auto"/>
        <w:ind w:left="193" w:hanging="193"/>
        <w:jc w:val="both"/>
        <w:rPr>
          <w:rFonts w:ascii="Times New Roman" w:eastAsiaTheme="minorEastAsia" w:hAnsi="Times New Roman" w:cs="Times New Roman"/>
          <w:sz w:val="20"/>
          <w:szCs w:val="20"/>
        </w:rPr>
      </w:pPr>
      <w:r w:rsidRPr="00C1181E">
        <w:rPr>
          <w:rFonts w:ascii="Times New Roman" w:eastAsiaTheme="minorEastAsia" w:hAnsi="Times New Roman" w:cs="Times New Roman"/>
          <w:sz w:val="20"/>
          <w:szCs w:val="20"/>
        </w:rPr>
        <w:t xml:space="preserve">Al igual que lo encontrado por </w:t>
      </w:r>
      <w:proofErr w:type="spellStart"/>
      <w:r w:rsidRPr="00C1181E">
        <w:rPr>
          <w:rFonts w:ascii="Times New Roman" w:eastAsiaTheme="minorEastAsia" w:hAnsi="Times New Roman" w:cs="Times New Roman"/>
          <w:sz w:val="20"/>
          <w:szCs w:val="20"/>
        </w:rPr>
        <w:t>Baranes</w:t>
      </w:r>
      <w:proofErr w:type="spellEnd"/>
      <w:r w:rsidRPr="00C1181E">
        <w:rPr>
          <w:rFonts w:ascii="Times New Roman" w:eastAsiaTheme="minorEastAsia" w:hAnsi="Times New Roman" w:cs="Times New Roman"/>
          <w:sz w:val="20"/>
          <w:szCs w:val="20"/>
        </w:rPr>
        <w:t xml:space="preserve">, la participación de mercado del </w:t>
      </w:r>
      <w:r w:rsidR="000C0221" w:rsidRPr="00C1181E">
        <w:rPr>
          <w:rFonts w:ascii="Times New Roman" w:eastAsiaTheme="minorEastAsia" w:hAnsi="Times New Roman" w:cs="Times New Roman"/>
          <w:sz w:val="20"/>
          <w:szCs w:val="20"/>
        </w:rPr>
        <w:t>preponderante</w:t>
      </w:r>
      <w:r w:rsidRPr="00C1181E">
        <w:rPr>
          <w:rFonts w:ascii="Times New Roman" w:eastAsiaTheme="minorEastAsia" w:hAnsi="Times New Roman" w:cs="Times New Roman"/>
          <w:sz w:val="20"/>
          <w:szCs w:val="20"/>
        </w:rPr>
        <w:t xml:space="preserve"> no depende de AR, sino solamente de su valor rezagado. </w:t>
      </w:r>
    </w:p>
    <w:p w:rsidR="00366BBA" w:rsidRPr="00C1181E" w:rsidRDefault="00366BBA" w:rsidP="007C60FE">
      <w:pPr>
        <w:spacing w:after="120" w:line="240" w:lineRule="auto"/>
        <w:jc w:val="both"/>
        <w:rPr>
          <w:rFonts w:ascii="Times New Roman" w:eastAsiaTheme="minorEastAsia" w:hAnsi="Times New Roman" w:cs="Times New Roman"/>
          <w:sz w:val="20"/>
          <w:szCs w:val="20"/>
        </w:rPr>
      </w:pPr>
      <w:r w:rsidRPr="00C1181E">
        <w:rPr>
          <w:rFonts w:ascii="Times New Roman" w:eastAsiaTheme="minorEastAsia" w:hAnsi="Times New Roman" w:cs="Times New Roman"/>
          <w:b/>
          <w:sz w:val="20"/>
          <w:szCs w:val="20"/>
        </w:rPr>
        <w:t>Para los Entrantes</w:t>
      </w:r>
      <w:r w:rsidR="00BB1B9C" w:rsidRPr="00C1181E">
        <w:rPr>
          <w:rFonts w:ascii="Times New Roman" w:eastAsiaTheme="minorEastAsia" w:hAnsi="Times New Roman" w:cs="Times New Roman"/>
          <w:sz w:val="20"/>
          <w:szCs w:val="20"/>
        </w:rPr>
        <w:t xml:space="preserve"> (</w:t>
      </w:r>
      <w:r w:rsidR="00CB129A">
        <w:rPr>
          <w:rFonts w:ascii="Times New Roman" w:eastAsiaTheme="minorEastAsia" w:hAnsi="Times New Roman" w:cs="Times New Roman"/>
          <w:sz w:val="20"/>
          <w:szCs w:val="20"/>
        </w:rPr>
        <w:t>Cuadro 3</w:t>
      </w:r>
      <w:r w:rsidR="00BB1B9C" w:rsidRPr="00C1181E">
        <w:rPr>
          <w:rFonts w:ascii="Times New Roman" w:eastAsiaTheme="minorEastAsia" w:hAnsi="Times New Roman" w:cs="Times New Roman"/>
          <w:sz w:val="20"/>
          <w:szCs w:val="20"/>
        </w:rPr>
        <w:t>)</w:t>
      </w:r>
      <w:r w:rsidRPr="00C1181E">
        <w:rPr>
          <w:rFonts w:ascii="Times New Roman" w:eastAsiaTheme="minorEastAsia" w:hAnsi="Times New Roman" w:cs="Times New Roman"/>
          <w:sz w:val="20"/>
          <w:szCs w:val="20"/>
        </w:rPr>
        <w:t xml:space="preserve">:  </w:t>
      </w:r>
    </w:p>
    <w:p w:rsidR="00E70923" w:rsidRPr="00C1181E" w:rsidRDefault="00E70923" w:rsidP="008757E0">
      <w:pPr>
        <w:pStyle w:val="Prrafodelista"/>
        <w:numPr>
          <w:ilvl w:val="0"/>
          <w:numId w:val="45"/>
        </w:numPr>
        <w:spacing w:after="80" w:line="240" w:lineRule="auto"/>
        <w:ind w:left="193" w:hanging="193"/>
        <w:contextualSpacing w:val="0"/>
        <w:jc w:val="both"/>
        <w:rPr>
          <w:rFonts w:ascii="Times New Roman" w:hAnsi="Times New Roman" w:cs="Times New Roman"/>
          <w:sz w:val="20"/>
          <w:szCs w:val="20"/>
        </w:rPr>
      </w:pPr>
      <w:r w:rsidRPr="00C1181E">
        <w:rPr>
          <w:rFonts w:ascii="Times New Roman" w:eastAsiaTheme="minorEastAsia" w:hAnsi="Times New Roman" w:cs="Times New Roman"/>
          <w:sz w:val="20"/>
          <w:szCs w:val="20"/>
        </w:rPr>
        <w:t>La rentabilidad de los entrantes no se ha visto afectada por la</w:t>
      </w:r>
      <w:r w:rsidR="00F302B5" w:rsidRPr="00C1181E">
        <w:rPr>
          <w:rFonts w:ascii="Times New Roman" w:eastAsiaTheme="minorEastAsia" w:hAnsi="Times New Roman" w:cs="Times New Roman"/>
          <w:sz w:val="20"/>
          <w:szCs w:val="20"/>
        </w:rPr>
        <w:t xml:space="preserve"> AR, pero si por el nivel absoluto de la TTM</w:t>
      </w:r>
      <w:r w:rsidRPr="00C1181E">
        <w:rPr>
          <w:rFonts w:ascii="Times New Roman" w:eastAsiaTheme="minorEastAsia" w:hAnsi="Times New Roman" w:cs="Times New Roman"/>
          <w:sz w:val="20"/>
          <w:szCs w:val="20"/>
        </w:rPr>
        <w:t xml:space="preserve">.  </w:t>
      </w:r>
    </w:p>
    <w:p w:rsidR="00BB5B7A" w:rsidRPr="00C1181E" w:rsidRDefault="00366BBA" w:rsidP="008757E0">
      <w:pPr>
        <w:pStyle w:val="Prrafodelista"/>
        <w:numPr>
          <w:ilvl w:val="0"/>
          <w:numId w:val="45"/>
        </w:numPr>
        <w:spacing w:after="80" w:line="240" w:lineRule="auto"/>
        <w:ind w:left="193" w:hanging="193"/>
        <w:contextualSpacing w:val="0"/>
        <w:jc w:val="both"/>
        <w:rPr>
          <w:rFonts w:ascii="Times New Roman" w:hAnsi="Times New Roman" w:cs="Times New Roman"/>
          <w:sz w:val="20"/>
          <w:szCs w:val="20"/>
        </w:rPr>
      </w:pPr>
      <w:r w:rsidRPr="00C1181E">
        <w:rPr>
          <w:rFonts w:ascii="Times New Roman" w:eastAsiaTheme="minorEastAsia" w:hAnsi="Times New Roman" w:cs="Times New Roman"/>
          <w:sz w:val="20"/>
          <w:szCs w:val="20"/>
        </w:rPr>
        <w:t xml:space="preserve">La participación del mercado de los entrantes </w:t>
      </w:r>
      <w:r w:rsidR="00981416" w:rsidRPr="00C1181E">
        <w:rPr>
          <w:rFonts w:ascii="Times New Roman" w:eastAsiaTheme="minorEastAsia" w:hAnsi="Times New Roman" w:cs="Times New Roman"/>
          <w:sz w:val="20"/>
          <w:szCs w:val="20"/>
        </w:rPr>
        <w:t xml:space="preserve">en México </w:t>
      </w:r>
      <w:r w:rsidRPr="00C1181E">
        <w:rPr>
          <w:rFonts w:ascii="Times New Roman" w:eastAsiaTheme="minorEastAsia" w:hAnsi="Times New Roman" w:cs="Times New Roman"/>
          <w:sz w:val="20"/>
          <w:szCs w:val="20"/>
        </w:rPr>
        <w:t xml:space="preserve">depende de </w:t>
      </w:r>
      <w:r w:rsidR="00F071A4" w:rsidRPr="00C1181E">
        <w:rPr>
          <w:rFonts w:ascii="Times New Roman" w:eastAsiaTheme="minorEastAsia" w:hAnsi="Times New Roman" w:cs="Times New Roman"/>
          <w:sz w:val="20"/>
          <w:szCs w:val="20"/>
        </w:rPr>
        <w:t>su valor rezag</w:t>
      </w:r>
      <w:r w:rsidR="005F25F8" w:rsidRPr="00C1181E">
        <w:rPr>
          <w:rFonts w:ascii="Times New Roman" w:eastAsiaTheme="minorEastAsia" w:hAnsi="Times New Roman" w:cs="Times New Roman"/>
          <w:sz w:val="20"/>
          <w:szCs w:val="20"/>
        </w:rPr>
        <w:t>ad</w:t>
      </w:r>
      <w:r w:rsidR="00F302B5" w:rsidRPr="00C1181E">
        <w:rPr>
          <w:rFonts w:ascii="Times New Roman" w:eastAsiaTheme="minorEastAsia" w:hAnsi="Times New Roman" w:cs="Times New Roman"/>
          <w:sz w:val="20"/>
          <w:szCs w:val="20"/>
        </w:rPr>
        <w:t>o y de la TTM.</w:t>
      </w:r>
      <w:r w:rsidR="00981416" w:rsidRPr="00C1181E">
        <w:rPr>
          <w:rFonts w:ascii="Times New Roman" w:eastAsiaTheme="minorEastAsia" w:hAnsi="Times New Roman" w:cs="Times New Roman"/>
          <w:sz w:val="20"/>
          <w:szCs w:val="20"/>
        </w:rPr>
        <w:t xml:space="preserve"> </w:t>
      </w:r>
    </w:p>
    <w:p w:rsidR="00F302B5" w:rsidRPr="00C1181E" w:rsidRDefault="00F302B5" w:rsidP="00B71AE9">
      <w:pPr>
        <w:pStyle w:val="Prrafodelista"/>
        <w:spacing w:after="120" w:line="240" w:lineRule="auto"/>
        <w:ind w:left="0"/>
        <w:contextualSpacing w:val="0"/>
        <w:jc w:val="both"/>
        <w:rPr>
          <w:rFonts w:ascii="Times New Roman" w:hAnsi="Times New Roman" w:cs="Times New Roman"/>
          <w:sz w:val="20"/>
          <w:szCs w:val="20"/>
        </w:rPr>
      </w:pPr>
      <w:r w:rsidRPr="00C1181E">
        <w:rPr>
          <w:rFonts w:ascii="Times New Roman" w:hAnsi="Times New Roman" w:cs="Times New Roman"/>
          <w:sz w:val="20"/>
          <w:szCs w:val="20"/>
        </w:rPr>
        <w:t xml:space="preserve">En lo que sigue se evalúan con detalle las anteriores conclusiones y se comparan con los resultados predichos por </w:t>
      </w:r>
      <w:proofErr w:type="spellStart"/>
      <w:r w:rsidRPr="00C1181E">
        <w:rPr>
          <w:rFonts w:ascii="Times New Roman" w:hAnsi="Times New Roman" w:cs="Times New Roman"/>
          <w:sz w:val="20"/>
          <w:szCs w:val="20"/>
        </w:rPr>
        <w:t>Peitz</w:t>
      </w:r>
      <w:proofErr w:type="spellEnd"/>
      <w:r w:rsidRPr="00C1181E">
        <w:rPr>
          <w:rFonts w:ascii="Times New Roman" w:hAnsi="Times New Roman" w:cs="Times New Roman"/>
          <w:sz w:val="20"/>
          <w:szCs w:val="20"/>
        </w:rPr>
        <w:t xml:space="preserve"> y obtenidos por </w:t>
      </w:r>
      <w:proofErr w:type="spellStart"/>
      <w:r w:rsidRPr="00C1181E">
        <w:rPr>
          <w:rFonts w:ascii="Times New Roman" w:hAnsi="Times New Roman" w:cs="Times New Roman"/>
          <w:sz w:val="20"/>
          <w:szCs w:val="20"/>
        </w:rPr>
        <w:t>Baranes</w:t>
      </w:r>
      <w:proofErr w:type="spellEnd"/>
      <w:r w:rsidRPr="00C1181E">
        <w:rPr>
          <w:rFonts w:ascii="Times New Roman" w:hAnsi="Times New Roman" w:cs="Times New Roman"/>
          <w:sz w:val="20"/>
          <w:szCs w:val="20"/>
        </w:rPr>
        <w:t xml:space="preserve"> et al. </w:t>
      </w:r>
    </w:p>
    <w:p w:rsidR="008757E0" w:rsidRDefault="008757E0" w:rsidP="00B71AE9">
      <w:pPr>
        <w:spacing w:after="120" w:line="240" w:lineRule="auto"/>
        <w:jc w:val="both"/>
        <w:rPr>
          <w:rFonts w:ascii="Times New Roman" w:hAnsi="Times New Roman" w:cs="Times New Roman"/>
          <w:b/>
          <w:bCs/>
          <w:sz w:val="20"/>
          <w:szCs w:val="20"/>
        </w:rPr>
      </w:pPr>
    </w:p>
    <w:p w:rsidR="00B8550C" w:rsidRDefault="00B203B8" w:rsidP="00B71AE9">
      <w:pPr>
        <w:spacing w:after="120" w:line="240" w:lineRule="auto"/>
        <w:jc w:val="both"/>
        <w:rPr>
          <w:rFonts w:ascii="Arial" w:hAnsi="Arial" w:cs="Arial"/>
          <w:b/>
          <w:bCs/>
          <w:sz w:val="18"/>
          <w:szCs w:val="18"/>
        </w:rPr>
      </w:pPr>
      <w:r w:rsidRPr="008757E0">
        <w:rPr>
          <w:rFonts w:ascii="Arial" w:hAnsi="Arial" w:cs="Arial"/>
          <w:b/>
          <w:bCs/>
          <w:sz w:val="18"/>
          <w:szCs w:val="18"/>
        </w:rPr>
        <w:t xml:space="preserve">Evaluación de la </w:t>
      </w:r>
      <w:r w:rsidR="00315674" w:rsidRPr="008757E0">
        <w:rPr>
          <w:rFonts w:ascii="Arial" w:hAnsi="Arial" w:cs="Arial"/>
          <w:b/>
          <w:bCs/>
          <w:sz w:val="18"/>
          <w:szCs w:val="18"/>
        </w:rPr>
        <w:t>Conclusión</w:t>
      </w:r>
      <w:r w:rsidR="00363F5E" w:rsidRPr="008757E0">
        <w:rPr>
          <w:rFonts w:ascii="Arial" w:hAnsi="Arial" w:cs="Arial"/>
          <w:b/>
          <w:bCs/>
          <w:sz w:val="18"/>
          <w:szCs w:val="18"/>
        </w:rPr>
        <w:t xml:space="preserve"> de </w:t>
      </w:r>
      <w:proofErr w:type="spellStart"/>
      <w:r w:rsidR="00363F5E" w:rsidRPr="008757E0">
        <w:rPr>
          <w:rFonts w:ascii="Arial" w:hAnsi="Arial" w:cs="Arial"/>
          <w:b/>
          <w:bCs/>
          <w:sz w:val="18"/>
          <w:szCs w:val="18"/>
        </w:rPr>
        <w:t>Peitz</w:t>
      </w:r>
      <w:proofErr w:type="spellEnd"/>
      <w:r w:rsidR="00363F5E" w:rsidRPr="008757E0">
        <w:rPr>
          <w:rFonts w:ascii="Arial" w:hAnsi="Arial" w:cs="Arial"/>
          <w:b/>
          <w:bCs/>
          <w:sz w:val="18"/>
          <w:szCs w:val="18"/>
        </w:rPr>
        <w:t xml:space="preserve"> </w:t>
      </w:r>
      <w:r w:rsidR="00B13C3F" w:rsidRPr="008757E0">
        <w:rPr>
          <w:rFonts w:ascii="Arial" w:hAnsi="Arial" w:cs="Arial"/>
          <w:b/>
          <w:bCs/>
          <w:sz w:val="18"/>
          <w:szCs w:val="18"/>
        </w:rPr>
        <w:t xml:space="preserve">y </w:t>
      </w:r>
      <w:proofErr w:type="spellStart"/>
      <w:r w:rsidR="00B13C3F" w:rsidRPr="008757E0">
        <w:rPr>
          <w:rFonts w:ascii="Arial" w:hAnsi="Arial" w:cs="Arial"/>
          <w:b/>
          <w:bCs/>
          <w:sz w:val="18"/>
          <w:szCs w:val="18"/>
        </w:rPr>
        <w:t>Baranes</w:t>
      </w:r>
      <w:proofErr w:type="spellEnd"/>
      <w:r w:rsidR="00A84DB6" w:rsidRPr="008757E0">
        <w:rPr>
          <w:rFonts w:ascii="Arial" w:hAnsi="Arial" w:cs="Arial"/>
          <w:b/>
          <w:bCs/>
          <w:sz w:val="18"/>
          <w:szCs w:val="18"/>
        </w:rPr>
        <w:t xml:space="preserve">: </w:t>
      </w:r>
      <w:r w:rsidR="002C1F41" w:rsidRPr="008757E0">
        <w:rPr>
          <w:rFonts w:ascii="Arial" w:hAnsi="Arial" w:cs="Arial"/>
          <w:b/>
          <w:bCs/>
          <w:sz w:val="18"/>
          <w:szCs w:val="18"/>
        </w:rPr>
        <w:t xml:space="preserve">Se reducen los precios al consumidor </w:t>
      </w:r>
      <w:r w:rsidR="00A84DB6" w:rsidRPr="008757E0">
        <w:rPr>
          <w:rFonts w:ascii="Arial" w:hAnsi="Arial" w:cs="Arial"/>
          <w:b/>
          <w:bCs/>
          <w:sz w:val="18"/>
          <w:szCs w:val="18"/>
        </w:rPr>
        <w:t>de los 2 operadores</w:t>
      </w:r>
    </w:p>
    <w:p w:rsidR="00381A92" w:rsidRPr="008757E0" w:rsidRDefault="00381A92" w:rsidP="00B71AE9">
      <w:pPr>
        <w:spacing w:after="120" w:line="240" w:lineRule="auto"/>
        <w:jc w:val="both"/>
        <w:rPr>
          <w:rFonts w:ascii="Arial" w:hAnsi="Arial" w:cs="Arial"/>
          <w:b/>
          <w:bCs/>
          <w:sz w:val="18"/>
          <w:szCs w:val="18"/>
        </w:rPr>
      </w:pPr>
    </w:p>
    <w:tbl>
      <w:tblPr>
        <w:tblStyle w:val="Tablaconcuadrcula"/>
        <w:tblW w:w="0" w:type="auto"/>
        <w:tblInd w:w="-5" w:type="dxa"/>
        <w:tblLook w:val="04A0" w:firstRow="1" w:lastRow="0" w:firstColumn="1" w:lastColumn="0" w:noHBand="0" w:noVBand="1"/>
      </w:tblPr>
      <w:tblGrid>
        <w:gridCol w:w="10206"/>
      </w:tblGrid>
      <w:tr w:rsidR="00B8550C" w:rsidRPr="00C1181E" w:rsidTr="002C12F8">
        <w:tc>
          <w:tcPr>
            <w:tcW w:w="10206" w:type="dxa"/>
          </w:tcPr>
          <w:p w:rsidR="00B8550C" w:rsidRPr="00C1181E" w:rsidRDefault="00363F5E" w:rsidP="005F6546">
            <w:pPr>
              <w:spacing w:after="120"/>
              <w:jc w:val="both"/>
              <w:rPr>
                <w:rFonts w:ascii="Times New Roman" w:hAnsi="Times New Roman" w:cs="Times New Roman"/>
                <w:sz w:val="20"/>
                <w:szCs w:val="20"/>
              </w:rPr>
            </w:pPr>
            <w:r w:rsidRPr="00C1181E">
              <w:rPr>
                <w:rFonts w:ascii="Times New Roman" w:hAnsi="Times New Roman" w:cs="Times New Roman"/>
                <w:sz w:val="20"/>
                <w:szCs w:val="20"/>
              </w:rPr>
              <w:t>Resultado Ecuación1</w:t>
            </w:r>
            <w:r w:rsidR="006A7AAE" w:rsidRPr="00C1181E">
              <w:rPr>
                <w:rFonts w:ascii="Times New Roman" w:hAnsi="Times New Roman" w:cs="Times New Roman"/>
                <w:sz w:val="20"/>
                <w:szCs w:val="20"/>
              </w:rPr>
              <w:t xml:space="preserve">: </w:t>
            </w:r>
            <w:proofErr w:type="spellStart"/>
            <w:r w:rsidR="00B8550C" w:rsidRPr="00C1181E">
              <w:rPr>
                <w:rFonts w:ascii="Times New Roman" w:hAnsi="Times New Roman" w:cs="Times New Roman"/>
                <w:sz w:val="20"/>
                <w:szCs w:val="20"/>
              </w:rPr>
              <w:t>IpM</w:t>
            </w:r>
            <w:proofErr w:type="spellEnd"/>
            <w:r w:rsidR="00B8550C" w:rsidRPr="00C1181E">
              <w:rPr>
                <w:rFonts w:ascii="Times New Roman" w:hAnsi="Times New Roman" w:cs="Times New Roman"/>
                <w:sz w:val="20"/>
                <w:szCs w:val="20"/>
              </w:rPr>
              <w:t xml:space="preserve"> del servicio </w:t>
            </w:r>
            <w:r w:rsidR="00255D9C" w:rsidRPr="00C1181E">
              <w:rPr>
                <w:rFonts w:ascii="Times New Roman" w:hAnsi="Times New Roman" w:cs="Times New Roman"/>
                <w:sz w:val="20"/>
                <w:szCs w:val="20"/>
              </w:rPr>
              <w:t xml:space="preserve">de voz </w:t>
            </w:r>
            <w:r w:rsidR="005F6546">
              <w:rPr>
                <w:rFonts w:ascii="Times New Roman" w:hAnsi="Times New Roman" w:cs="Times New Roman"/>
                <w:sz w:val="20"/>
                <w:szCs w:val="20"/>
              </w:rPr>
              <w:t>móvil baja cuando se reduce la</w:t>
            </w:r>
            <w:r w:rsidR="00B8550C" w:rsidRPr="00C1181E">
              <w:rPr>
                <w:rFonts w:ascii="Times New Roman" w:hAnsi="Times New Roman" w:cs="Times New Roman"/>
                <w:sz w:val="20"/>
                <w:szCs w:val="20"/>
              </w:rPr>
              <w:t xml:space="preserve"> TTM</w:t>
            </w:r>
            <w:r w:rsidR="005F6546">
              <w:rPr>
                <w:rFonts w:ascii="Times New Roman" w:hAnsi="Times New Roman" w:cs="Times New Roman"/>
                <w:sz w:val="20"/>
                <w:szCs w:val="20"/>
              </w:rPr>
              <w:t xml:space="preserve"> promedio</w:t>
            </w:r>
            <w:r w:rsidR="00B8550C" w:rsidRPr="00C1181E">
              <w:rPr>
                <w:rFonts w:ascii="Times New Roman" w:hAnsi="Times New Roman" w:cs="Times New Roman"/>
                <w:sz w:val="20"/>
                <w:szCs w:val="20"/>
              </w:rPr>
              <w:t>, y la asimetría en las tarifas aument</w:t>
            </w:r>
            <w:r w:rsidR="007C1AE0" w:rsidRPr="00C1181E">
              <w:rPr>
                <w:rFonts w:ascii="Times New Roman" w:hAnsi="Times New Roman" w:cs="Times New Roman"/>
                <w:sz w:val="20"/>
                <w:szCs w:val="20"/>
              </w:rPr>
              <w:t xml:space="preserve">a </w:t>
            </w:r>
            <w:r w:rsidR="005F6546">
              <w:rPr>
                <w:rFonts w:ascii="Times New Roman" w:hAnsi="Times New Roman" w:cs="Times New Roman"/>
                <w:sz w:val="20"/>
                <w:szCs w:val="20"/>
              </w:rPr>
              <w:t>esa respuesta</w:t>
            </w:r>
            <w:r w:rsidR="00B8550C" w:rsidRPr="00C1181E">
              <w:rPr>
                <w:rFonts w:ascii="Times New Roman" w:hAnsi="Times New Roman" w:cs="Times New Roman"/>
                <w:sz w:val="20"/>
                <w:szCs w:val="20"/>
              </w:rPr>
              <w:t>.</w:t>
            </w:r>
          </w:p>
        </w:tc>
      </w:tr>
    </w:tbl>
    <w:p w:rsidR="00381A92" w:rsidRDefault="00B8550C" w:rsidP="007C60FE">
      <w:pPr>
        <w:spacing w:after="120" w:line="240" w:lineRule="auto"/>
        <w:jc w:val="both"/>
        <w:rPr>
          <w:rFonts w:ascii="Times New Roman" w:hAnsi="Times New Roman" w:cs="Times New Roman"/>
          <w:sz w:val="20"/>
          <w:szCs w:val="20"/>
        </w:rPr>
      </w:pPr>
      <w:r w:rsidRPr="00C1181E">
        <w:rPr>
          <w:rFonts w:ascii="Times New Roman" w:hAnsi="Times New Roman" w:cs="Times New Roman"/>
          <w:sz w:val="20"/>
          <w:szCs w:val="20"/>
        </w:rPr>
        <w:t xml:space="preserve"> </w:t>
      </w:r>
    </w:p>
    <w:p w:rsidR="00DB6D0B" w:rsidRPr="00C1181E" w:rsidRDefault="00B8550C" w:rsidP="007C60FE">
      <w:pPr>
        <w:spacing w:after="120" w:line="240" w:lineRule="auto"/>
        <w:jc w:val="both"/>
        <w:rPr>
          <w:rFonts w:ascii="Times New Roman" w:hAnsi="Times New Roman" w:cs="Times New Roman"/>
          <w:bCs/>
          <w:sz w:val="20"/>
          <w:szCs w:val="20"/>
        </w:rPr>
      </w:pPr>
      <w:r w:rsidRPr="00C1181E">
        <w:rPr>
          <w:rFonts w:ascii="Times New Roman" w:hAnsi="Times New Roman" w:cs="Times New Roman"/>
          <w:sz w:val="20"/>
          <w:szCs w:val="20"/>
        </w:rPr>
        <w:t xml:space="preserve">La reducción del </w:t>
      </w:r>
      <w:proofErr w:type="spellStart"/>
      <w:r w:rsidRPr="00C1181E">
        <w:rPr>
          <w:rFonts w:ascii="Times New Roman" w:hAnsi="Times New Roman" w:cs="Times New Roman"/>
          <w:sz w:val="20"/>
          <w:szCs w:val="20"/>
        </w:rPr>
        <w:t>IpM</w:t>
      </w:r>
      <w:proofErr w:type="spellEnd"/>
      <w:r w:rsidRPr="00C1181E">
        <w:rPr>
          <w:rFonts w:ascii="Times New Roman" w:hAnsi="Times New Roman" w:cs="Times New Roman"/>
          <w:sz w:val="20"/>
          <w:szCs w:val="20"/>
        </w:rPr>
        <w:t xml:space="preserve"> fue </w:t>
      </w:r>
      <w:r w:rsidRPr="005B644D">
        <w:rPr>
          <w:rFonts w:ascii="Times New Roman" w:hAnsi="Times New Roman" w:cs="Times New Roman"/>
          <w:sz w:val="20"/>
          <w:szCs w:val="20"/>
        </w:rPr>
        <w:t>de</w:t>
      </w:r>
      <w:r w:rsidR="00637F28" w:rsidRPr="005B644D">
        <w:rPr>
          <w:rFonts w:ascii="Times New Roman" w:hAnsi="Times New Roman" w:cs="Times New Roman"/>
          <w:sz w:val="20"/>
          <w:szCs w:val="20"/>
        </w:rPr>
        <w:t xml:space="preserve"> </w:t>
      </w:r>
      <w:r w:rsidR="005B644D" w:rsidRPr="005B644D">
        <w:rPr>
          <w:rFonts w:ascii="Times New Roman" w:hAnsi="Times New Roman" w:cs="Times New Roman"/>
          <w:sz w:val="20"/>
          <w:szCs w:val="20"/>
        </w:rPr>
        <w:t>35</w:t>
      </w:r>
      <w:r w:rsidR="00DB6D0B" w:rsidRPr="005B644D">
        <w:rPr>
          <w:rFonts w:ascii="Times New Roman" w:hAnsi="Times New Roman" w:cs="Times New Roman"/>
          <w:sz w:val="20"/>
          <w:szCs w:val="20"/>
        </w:rPr>
        <w:t xml:space="preserve">% </w:t>
      </w:r>
      <w:r w:rsidR="00637F28" w:rsidRPr="005B644D">
        <w:rPr>
          <w:rFonts w:ascii="Times New Roman" w:hAnsi="Times New Roman" w:cs="Times New Roman"/>
          <w:sz w:val="20"/>
          <w:szCs w:val="20"/>
        </w:rPr>
        <w:t>en</w:t>
      </w:r>
      <w:r w:rsidR="00637F28" w:rsidRPr="00C1181E">
        <w:rPr>
          <w:rFonts w:ascii="Times New Roman" w:hAnsi="Times New Roman" w:cs="Times New Roman"/>
          <w:sz w:val="20"/>
          <w:szCs w:val="20"/>
        </w:rPr>
        <w:t xml:space="preserve"> los primeros 18</w:t>
      </w:r>
      <w:r w:rsidR="00110643">
        <w:rPr>
          <w:rFonts w:ascii="Times New Roman" w:hAnsi="Times New Roman" w:cs="Times New Roman"/>
          <w:sz w:val="20"/>
          <w:szCs w:val="20"/>
        </w:rPr>
        <w:t xml:space="preserve"> meses de</w:t>
      </w:r>
      <w:r w:rsidR="006C3782" w:rsidRPr="00C1181E">
        <w:rPr>
          <w:rFonts w:ascii="Times New Roman" w:hAnsi="Times New Roman" w:cs="Times New Roman"/>
          <w:sz w:val="20"/>
          <w:szCs w:val="20"/>
        </w:rPr>
        <w:t xml:space="preserve"> aplicación de las</w:t>
      </w:r>
      <w:r w:rsidRPr="00C1181E">
        <w:rPr>
          <w:rFonts w:ascii="Times New Roman" w:hAnsi="Times New Roman" w:cs="Times New Roman"/>
          <w:sz w:val="20"/>
          <w:szCs w:val="20"/>
        </w:rPr>
        <w:t xml:space="preserve"> </w:t>
      </w:r>
      <w:r w:rsidR="00363F5E" w:rsidRPr="00C1181E">
        <w:rPr>
          <w:rFonts w:ascii="Times New Roman" w:hAnsi="Times New Roman" w:cs="Times New Roman"/>
          <w:sz w:val="20"/>
          <w:szCs w:val="20"/>
        </w:rPr>
        <w:t>TTM asimétricas</w:t>
      </w:r>
      <w:r w:rsidR="00DB6D0B" w:rsidRPr="00C1181E">
        <w:rPr>
          <w:rFonts w:ascii="Times New Roman" w:hAnsi="Times New Roman" w:cs="Times New Roman"/>
          <w:sz w:val="20"/>
          <w:szCs w:val="20"/>
        </w:rPr>
        <w:t xml:space="preserve">. </w:t>
      </w:r>
      <w:r w:rsidR="00DB6D0B" w:rsidRPr="00C1181E">
        <w:rPr>
          <w:rFonts w:ascii="Times New Roman" w:hAnsi="Times New Roman" w:cs="Times New Roman"/>
          <w:b/>
          <w:sz w:val="20"/>
          <w:szCs w:val="20"/>
        </w:rPr>
        <w:t xml:space="preserve"> </w:t>
      </w:r>
      <w:r w:rsidR="006C3782" w:rsidRPr="00C1181E">
        <w:rPr>
          <w:rFonts w:ascii="Times New Roman" w:hAnsi="Times New Roman" w:cs="Times New Roman"/>
          <w:bCs/>
          <w:sz w:val="20"/>
          <w:szCs w:val="20"/>
        </w:rPr>
        <w:t>Lo anterior, por la dism</w:t>
      </w:r>
      <w:r w:rsidR="00541D8E" w:rsidRPr="00C1181E">
        <w:rPr>
          <w:rFonts w:ascii="Times New Roman" w:hAnsi="Times New Roman" w:cs="Times New Roman"/>
          <w:bCs/>
          <w:sz w:val="20"/>
          <w:szCs w:val="20"/>
        </w:rPr>
        <w:t>inuc</w:t>
      </w:r>
      <w:r w:rsidR="00DB6D0B" w:rsidRPr="00C1181E">
        <w:rPr>
          <w:rFonts w:ascii="Times New Roman" w:hAnsi="Times New Roman" w:cs="Times New Roman"/>
          <w:bCs/>
          <w:sz w:val="20"/>
          <w:szCs w:val="20"/>
        </w:rPr>
        <w:t xml:space="preserve">ión de la TTM general y la eliminación total de ese cargo por parte del </w:t>
      </w:r>
      <w:r w:rsidR="000C0221" w:rsidRPr="00C1181E">
        <w:rPr>
          <w:rFonts w:ascii="Times New Roman" w:hAnsi="Times New Roman" w:cs="Times New Roman"/>
          <w:bCs/>
          <w:sz w:val="20"/>
          <w:szCs w:val="20"/>
        </w:rPr>
        <w:t>preponderante</w:t>
      </w:r>
      <w:r w:rsidR="00DB6D0B" w:rsidRPr="00C1181E">
        <w:rPr>
          <w:rFonts w:ascii="Times New Roman" w:hAnsi="Times New Roman" w:cs="Times New Roman"/>
          <w:bCs/>
          <w:sz w:val="20"/>
          <w:szCs w:val="20"/>
        </w:rPr>
        <w:t>.</w:t>
      </w:r>
      <w:r w:rsidR="00255D9C" w:rsidRPr="00C1181E">
        <w:rPr>
          <w:rFonts w:ascii="Times New Roman" w:hAnsi="Times New Roman" w:cs="Times New Roman"/>
          <w:bCs/>
          <w:sz w:val="20"/>
          <w:szCs w:val="20"/>
        </w:rPr>
        <w:t xml:space="preserve"> </w:t>
      </w:r>
      <w:r w:rsidR="0012605F" w:rsidRPr="00C1181E">
        <w:rPr>
          <w:rFonts w:ascii="Times New Roman" w:hAnsi="Times New Roman" w:cs="Times New Roman"/>
          <w:bCs/>
          <w:sz w:val="20"/>
          <w:szCs w:val="20"/>
        </w:rPr>
        <w:t xml:space="preserve"> </w:t>
      </w:r>
      <w:r w:rsidR="0027691C" w:rsidRPr="00C1181E">
        <w:rPr>
          <w:rFonts w:ascii="Times New Roman" w:hAnsi="Times New Roman" w:cs="Times New Roman"/>
          <w:bCs/>
          <w:sz w:val="20"/>
          <w:szCs w:val="20"/>
        </w:rPr>
        <w:t>Un</w:t>
      </w:r>
      <w:r w:rsidR="00DB6D0B" w:rsidRPr="00C1181E">
        <w:rPr>
          <w:rFonts w:ascii="Times New Roman" w:hAnsi="Times New Roman" w:cs="Times New Roman"/>
          <w:bCs/>
          <w:sz w:val="20"/>
          <w:szCs w:val="20"/>
        </w:rPr>
        <w:t xml:space="preserve"> factor </w:t>
      </w:r>
      <w:r w:rsidR="0027691C" w:rsidRPr="00C1181E">
        <w:rPr>
          <w:rFonts w:ascii="Times New Roman" w:hAnsi="Times New Roman" w:cs="Times New Roman"/>
          <w:bCs/>
          <w:sz w:val="20"/>
          <w:szCs w:val="20"/>
        </w:rPr>
        <w:t>adicional que ha incidid</w:t>
      </w:r>
      <w:r w:rsidRPr="00C1181E">
        <w:rPr>
          <w:rFonts w:ascii="Times New Roman" w:hAnsi="Times New Roman" w:cs="Times New Roman"/>
          <w:bCs/>
          <w:sz w:val="20"/>
          <w:szCs w:val="20"/>
        </w:rPr>
        <w:t>o</w:t>
      </w:r>
      <w:r w:rsidR="0027691C" w:rsidRPr="00C1181E">
        <w:rPr>
          <w:rFonts w:ascii="Times New Roman" w:hAnsi="Times New Roman" w:cs="Times New Roman"/>
          <w:bCs/>
          <w:sz w:val="20"/>
          <w:szCs w:val="20"/>
        </w:rPr>
        <w:t xml:space="preserve"> en</w:t>
      </w:r>
      <w:r w:rsidRPr="00C1181E">
        <w:rPr>
          <w:rFonts w:ascii="Times New Roman" w:hAnsi="Times New Roman" w:cs="Times New Roman"/>
          <w:bCs/>
          <w:sz w:val="20"/>
          <w:szCs w:val="20"/>
        </w:rPr>
        <w:t xml:space="preserve"> l</w:t>
      </w:r>
      <w:r w:rsidR="00DB6D0B" w:rsidRPr="00C1181E">
        <w:rPr>
          <w:rFonts w:ascii="Times New Roman" w:hAnsi="Times New Roman" w:cs="Times New Roman"/>
          <w:bCs/>
          <w:sz w:val="20"/>
          <w:szCs w:val="20"/>
        </w:rPr>
        <w:t xml:space="preserve">a caída del </w:t>
      </w:r>
      <w:proofErr w:type="spellStart"/>
      <w:r w:rsidR="00DB6D0B" w:rsidRPr="00C1181E">
        <w:rPr>
          <w:rFonts w:ascii="Times New Roman" w:hAnsi="Times New Roman" w:cs="Times New Roman"/>
          <w:bCs/>
          <w:sz w:val="20"/>
          <w:szCs w:val="20"/>
        </w:rPr>
        <w:t>IpM</w:t>
      </w:r>
      <w:proofErr w:type="spellEnd"/>
      <w:r w:rsidR="00DB6D0B" w:rsidRPr="00C1181E">
        <w:rPr>
          <w:rFonts w:ascii="Times New Roman" w:hAnsi="Times New Roman" w:cs="Times New Roman"/>
          <w:bCs/>
          <w:sz w:val="20"/>
          <w:szCs w:val="20"/>
        </w:rPr>
        <w:t xml:space="preserve"> </w:t>
      </w:r>
      <w:r w:rsidRPr="00C1181E">
        <w:rPr>
          <w:rFonts w:ascii="Times New Roman" w:hAnsi="Times New Roman" w:cs="Times New Roman"/>
          <w:bCs/>
          <w:sz w:val="20"/>
          <w:szCs w:val="20"/>
        </w:rPr>
        <w:t>es</w:t>
      </w:r>
      <w:r w:rsidR="00E57546" w:rsidRPr="00C1181E">
        <w:rPr>
          <w:rFonts w:ascii="Times New Roman" w:hAnsi="Times New Roman" w:cs="Times New Roman"/>
          <w:bCs/>
          <w:sz w:val="20"/>
          <w:szCs w:val="20"/>
        </w:rPr>
        <w:t xml:space="preserve"> la eliminación del cargo de larga distancia </w:t>
      </w:r>
      <w:r w:rsidR="00DB6D0B" w:rsidRPr="00C1181E">
        <w:rPr>
          <w:rFonts w:ascii="Times New Roman" w:hAnsi="Times New Roman" w:cs="Times New Roman"/>
          <w:bCs/>
          <w:sz w:val="20"/>
          <w:szCs w:val="20"/>
        </w:rPr>
        <w:t xml:space="preserve">desde enero 2015. </w:t>
      </w:r>
    </w:p>
    <w:p w:rsidR="00F21753" w:rsidRDefault="00F21753" w:rsidP="00F21753">
      <w:pPr>
        <w:spacing w:after="120" w:line="240" w:lineRule="auto"/>
        <w:jc w:val="both"/>
        <w:rPr>
          <w:rFonts w:ascii="Times New Roman" w:hAnsi="Times New Roman" w:cs="Times New Roman"/>
          <w:bCs/>
          <w:sz w:val="20"/>
          <w:szCs w:val="20"/>
        </w:rPr>
      </w:pPr>
      <w:r w:rsidRPr="006D38E7">
        <w:rPr>
          <w:rFonts w:ascii="Times New Roman" w:hAnsi="Times New Roman" w:cs="Times New Roman"/>
          <w:bCs/>
          <w:sz w:val="20"/>
          <w:szCs w:val="20"/>
        </w:rPr>
        <w:t xml:space="preserve">El INPC de la telefonía móvil ha sido consistentemente menor al índice general. A partir de abril 2014 esta métrica muestra todavía un menor crecimiento. </w:t>
      </w:r>
    </w:p>
    <w:tbl>
      <w:tblPr>
        <w:tblStyle w:val="Tablaconcuadrcula"/>
        <w:tblW w:w="0" w:type="auto"/>
        <w:tblCellMar>
          <w:left w:w="70" w:type="dxa"/>
          <w:right w:w="70" w:type="dxa"/>
        </w:tblCellMar>
        <w:tblLook w:val="04A0" w:firstRow="1" w:lastRow="0" w:firstColumn="1" w:lastColumn="0" w:noHBand="0" w:noVBand="1"/>
      </w:tblPr>
      <w:tblGrid>
        <w:gridCol w:w="5322"/>
        <w:gridCol w:w="4962"/>
      </w:tblGrid>
      <w:tr w:rsidR="00D15D61" w:rsidTr="001423EA">
        <w:tc>
          <w:tcPr>
            <w:tcW w:w="5137" w:type="dxa"/>
            <w:tcBorders>
              <w:top w:val="nil"/>
              <w:left w:val="nil"/>
              <w:bottom w:val="nil"/>
              <w:right w:val="nil"/>
            </w:tcBorders>
          </w:tcPr>
          <w:p w:rsidR="00D15D61" w:rsidRDefault="00D15D61" w:rsidP="00F21753">
            <w:pPr>
              <w:spacing w:after="120"/>
              <w:jc w:val="both"/>
              <w:rPr>
                <w:rFonts w:ascii="Times New Roman" w:hAnsi="Times New Roman" w:cs="Times New Roman"/>
                <w:bCs/>
                <w:sz w:val="20"/>
                <w:szCs w:val="20"/>
              </w:rPr>
            </w:pPr>
            <w:r>
              <w:rPr>
                <w:rFonts w:ascii="Times New Roman" w:hAnsi="Times New Roman" w:cs="Times New Roman"/>
                <w:bCs/>
                <w:noProof/>
                <w:sz w:val="24"/>
                <w:szCs w:val="24"/>
                <w:lang w:eastAsia="es-MX"/>
              </w:rPr>
              <w:drawing>
                <wp:inline distT="0" distB="0" distL="0" distR="0" wp14:anchorId="2B9EDF03" wp14:editId="08DE412C">
                  <wp:extent cx="3291840" cy="2071688"/>
                  <wp:effectExtent l="0" t="0" r="3810" b="508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147" cy="2073769"/>
                          </a:xfrm>
                          <a:prstGeom prst="rect">
                            <a:avLst/>
                          </a:prstGeom>
                          <a:noFill/>
                        </pic:spPr>
                      </pic:pic>
                    </a:graphicData>
                  </a:graphic>
                </wp:inline>
              </w:drawing>
            </w:r>
          </w:p>
        </w:tc>
        <w:tc>
          <w:tcPr>
            <w:tcW w:w="5137" w:type="dxa"/>
            <w:tcBorders>
              <w:top w:val="nil"/>
              <w:left w:val="nil"/>
              <w:bottom w:val="nil"/>
              <w:right w:val="nil"/>
            </w:tcBorders>
          </w:tcPr>
          <w:p w:rsidR="00D15D61" w:rsidRDefault="00272B7A" w:rsidP="00F21753">
            <w:pPr>
              <w:spacing w:after="120"/>
              <w:jc w:val="both"/>
              <w:rPr>
                <w:rFonts w:ascii="Times New Roman" w:hAnsi="Times New Roman" w:cs="Times New Roman"/>
                <w:bCs/>
                <w:sz w:val="20"/>
                <w:szCs w:val="20"/>
              </w:rPr>
            </w:pPr>
            <w:r>
              <w:rPr>
                <w:rFonts w:ascii="Times New Roman" w:hAnsi="Times New Roman" w:cs="Times New Roman"/>
                <w:bCs/>
                <w:noProof/>
                <w:sz w:val="20"/>
                <w:szCs w:val="20"/>
                <w:lang w:eastAsia="es-MX"/>
              </w:rPr>
              <w:drawing>
                <wp:inline distT="0" distB="0" distL="0" distR="0" wp14:anchorId="7E46E6DE">
                  <wp:extent cx="3061534" cy="2057400"/>
                  <wp:effectExtent l="0" t="0" r="571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5835" cy="2060291"/>
                          </a:xfrm>
                          <a:prstGeom prst="rect">
                            <a:avLst/>
                          </a:prstGeom>
                          <a:noFill/>
                        </pic:spPr>
                      </pic:pic>
                    </a:graphicData>
                  </a:graphic>
                </wp:inline>
              </w:drawing>
            </w:r>
          </w:p>
        </w:tc>
      </w:tr>
    </w:tbl>
    <w:p w:rsidR="00D15D61" w:rsidRPr="006D38E7" w:rsidRDefault="00D15D61" w:rsidP="00F21753">
      <w:pPr>
        <w:spacing w:after="120" w:line="240" w:lineRule="auto"/>
        <w:jc w:val="both"/>
        <w:rPr>
          <w:rFonts w:ascii="Times New Roman" w:hAnsi="Times New Roman" w:cs="Times New Roman"/>
          <w:bCs/>
          <w:sz w:val="20"/>
          <w:szCs w:val="20"/>
        </w:rPr>
      </w:pPr>
    </w:p>
    <w:p w:rsidR="006D38E7" w:rsidRDefault="006D38E7" w:rsidP="006D38E7">
      <w:pPr>
        <w:spacing w:after="120" w:line="240" w:lineRule="auto"/>
        <w:jc w:val="both"/>
        <w:rPr>
          <w:rFonts w:ascii="Times New Roman" w:hAnsi="Times New Roman" w:cs="Times New Roman"/>
          <w:b/>
          <w:sz w:val="24"/>
          <w:szCs w:val="24"/>
        </w:rPr>
      </w:pPr>
    </w:p>
    <w:p w:rsidR="00F8027E" w:rsidRPr="00E019AA" w:rsidRDefault="00315674" w:rsidP="00F8027E">
      <w:pPr>
        <w:spacing w:after="120" w:line="240" w:lineRule="auto"/>
        <w:jc w:val="both"/>
        <w:rPr>
          <w:rFonts w:ascii="Times New Roman" w:hAnsi="Times New Roman" w:cs="Times New Roman"/>
          <w:b/>
          <w:sz w:val="20"/>
          <w:szCs w:val="20"/>
        </w:rPr>
      </w:pPr>
      <w:r w:rsidRPr="006D38E7">
        <w:rPr>
          <w:rFonts w:ascii="Arial" w:hAnsi="Arial" w:cs="Arial"/>
          <w:b/>
          <w:sz w:val="18"/>
          <w:szCs w:val="18"/>
        </w:rPr>
        <w:t>Evaluación de la</w:t>
      </w:r>
      <w:r w:rsidR="00F8027E">
        <w:rPr>
          <w:rFonts w:ascii="Arial" w:hAnsi="Arial" w:cs="Arial"/>
          <w:b/>
          <w:sz w:val="18"/>
          <w:szCs w:val="18"/>
        </w:rPr>
        <w:t>s Conclusiones</w:t>
      </w:r>
      <w:r w:rsidR="00343001" w:rsidRPr="006D38E7">
        <w:rPr>
          <w:rFonts w:ascii="Arial" w:hAnsi="Arial" w:cs="Arial"/>
          <w:b/>
          <w:sz w:val="18"/>
          <w:szCs w:val="18"/>
        </w:rPr>
        <w:t>: aumenta</w:t>
      </w:r>
      <w:r w:rsidR="00B203B8" w:rsidRPr="006D38E7">
        <w:rPr>
          <w:rFonts w:ascii="Arial" w:hAnsi="Arial" w:cs="Arial"/>
          <w:b/>
          <w:sz w:val="18"/>
          <w:szCs w:val="18"/>
        </w:rPr>
        <w:t xml:space="preserve"> la participación </w:t>
      </w:r>
      <w:r w:rsidR="00B71E19" w:rsidRPr="006D38E7">
        <w:rPr>
          <w:rFonts w:ascii="Arial" w:hAnsi="Arial" w:cs="Arial"/>
          <w:b/>
          <w:sz w:val="18"/>
          <w:szCs w:val="18"/>
        </w:rPr>
        <w:t>de mercado</w:t>
      </w:r>
      <w:r w:rsidR="00B203B8" w:rsidRPr="006D38E7">
        <w:rPr>
          <w:rFonts w:ascii="Arial" w:hAnsi="Arial" w:cs="Arial"/>
          <w:b/>
          <w:sz w:val="18"/>
          <w:szCs w:val="18"/>
        </w:rPr>
        <w:t xml:space="preserve"> de los entrantes</w:t>
      </w:r>
      <w:r w:rsidR="006B331D">
        <w:rPr>
          <w:rFonts w:ascii="Arial" w:hAnsi="Arial" w:cs="Arial"/>
          <w:b/>
          <w:sz w:val="18"/>
          <w:szCs w:val="18"/>
        </w:rPr>
        <w:t xml:space="preserve"> (</w:t>
      </w:r>
      <w:proofErr w:type="spellStart"/>
      <w:r w:rsidR="006B331D">
        <w:rPr>
          <w:rFonts w:ascii="Arial" w:hAnsi="Arial" w:cs="Arial"/>
          <w:b/>
          <w:sz w:val="18"/>
          <w:szCs w:val="18"/>
        </w:rPr>
        <w:t>Baranes</w:t>
      </w:r>
      <w:proofErr w:type="spellEnd"/>
      <w:r w:rsidR="006B331D">
        <w:rPr>
          <w:rFonts w:ascii="Arial" w:hAnsi="Arial" w:cs="Arial"/>
          <w:b/>
          <w:sz w:val="18"/>
          <w:szCs w:val="18"/>
        </w:rPr>
        <w:t>) y se fortalece</w:t>
      </w:r>
      <w:r w:rsidR="00F8027E" w:rsidRPr="00E019AA">
        <w:rPr>
          <w:rFonts w:ascii="Times New Roman" w:hAnsi="Times New Roman" w:cs="Times New Roman"/>
          <w:b/>
          <w:sz w:val="20"/>
          <w:szCs w:val="20"/>
        </w:rPr>
        <w:t xml:space="preserve"> la co</w:t>
      </w:r>
      <w:r w:rsidR="006B331D">
        <w:rPr>
          <w:rFonts w:ascii="Times New Roman" w:hAnsi="Times New Roman" w:cs="Times New Roman"/>
          <w:b/>
          <w:sz w:val="20"/>
          <w:szCs w:val="20"/>
        </w:rPr>
        <w:t xml:space="preserve">mpetencia en el corto plazo y </w:t>
      </w:r>
      <w:r w:rsidR="00F8027E" w:rsidRPr="00E019AA">
        <w:rPr>
          <w:rFonts w:ascii="Times New Roman" w:hAnsi="Times New Roman" w:cs="Times New Roman"/>
          <w:b/>
          <w:sz w:val="20"/>
          <w:szCs w:val="20"/>
        </w:rPr>
        <w:t xml:space="preserve"> el largo plazo, a través de la entrada permanente de operadores</w:t>
      </w:r>
      <w:r w:rsidR="006B331D">
        <w:rPr>
          <w:rFonts w:ascii="Times New Roman" w:hAnsi="Times New Roman" w:cs="Times New Roman"/>
          <w:b/>
          <w:sz w:val="20"/>
          <w:szCs w:val="20"/>
        </w:rPr>
        <w:t xml:space="preserve"> (</w:t>
      </w:r>
      <w:proofErr w:type="spellStart"/>
      <w:r w:rsidR="006B331D">
        <w:rPr>
          <w:rFonts w:ascii="Times New Roman" w:hAnsi="Times New Roman" w:cs="Times New Roman"/>
          <w:b/>
          <w:sz w:val="20"/>
          <w:szCs w:val="20"/>
        </w:rPr>
        <w:t>Peitz</w:t>
      </w:r>
      <w:proofErr w:type="spellEnd"/>
      <w:r w:rsidR="006B331D">
        <w:rPr>
          <w:rFonts w:ascii="Times New Roman" w:hAnsi="Times New Roman" w:cs="Times New Roman"/>
          <w:b/>
          <w:sz w:val="20"/>
          <w:szCs w:val="20"/>
        </w:rPr>
        <w:t>)</w:t>
      </w:r>
      <w:r w:rsidR="00F8027E" w:rsidRPr="00E019AA">
        <w:rPr>
          <w:rFonts w:ascii="Times New Roman" w:hAnsi="Times New Roman" w:cs="Times New Roman"/>
          <w:b/>
          <w:sz w:val="20"/>
          <w:szCs w:val="20"/>
        </w:rPr>
        <w:t>.</w:t>
      </w:r>
    </w:p>
    <w:tbl>
      <w:tblPr>
        <w:tblStyle w:val="Tablaconcuadrcula"/>
        <w:tblW w:w="0" w:type="auto"/>
        <w:tblLook w:val="04A0" w:firstRow="1" w:lastRow="0" w:firstColumn="1" w:lastColumn="0" w:noHBand="0" w:noVBand="1"/>
      </w:tblPr>
      <w:tblGrid>
        <w:gridCol w:w="10274"/>
      </w:tblGrid>
      <w:tr w:rsidR="00F8027E" w:rsidTr="00CB090E">
        <w:tc>
          <w:tcPr>
            <w:tcW w:w="10274" w:type="dxa"/>
          </w:tcPr>
          <w:p w:rsidR="006B331D" w:rsidRDefault="006B331D" w:rsidP="00CB090E">
            <w:pPr>
              <w:spacing w:after="120"/>
              <w:jc w:val="both"/>
              <w:rPr>
                <w:rFonts w:ascii="Times New Roman" w:hAnsi="Times New Roman" w:cs="Times New Roman"/>
                <w:sz w:val="20"/>
                <w:szCs w:val="20"/>
              </w:rPr>
            </w:pPr>
            <w:r w:rsidRPr="006B331D">
              <w:rPr>
                <w:rFonts w:ascii="Times New Roman" w:hAnsi="Times New Roman" w:cs="Times New Roman"/>
                <w:b/>
                <w:sz w:val="20"/>
                <w:szCs w:val="20"/>
              </w:rPr>
              <w:t>Resultado Ecuación 2 (d):</w:t>
            </w:r>
            <w:r w:rsidRPr="006D38E7">
              <w:rPr>
                <w:rFonts w:ascii="Times New Roman" w:hAnsi="Times New Roman" w:cs="Times New Roman"/>
                <w:sz w:val="20"/>
                <w:szCs w:val="20"/>
              </w:rPr>
              <w:t xml:space="preserve"> las participaciones de mercado dependen de su valor inmediato anterior  y de TTM</w:t>
            </w:r>
            <w:r>
              <w:rPr>
                <w:rFonts w:ascii="Times New Roman" w:hAnsi="Times New Roman" w:cs="Times New Roman"/>
                <w:sz w:val="20"/>
                <w:szCs w:val="20"/>
              </w:rPr>
              <w:t xml:space="preserve"> de los entrantes</w:t>
            </w:r>
            <w:r w:rsidRPr="006D38E7">
              <w:rPr>
                <w:rFonts w:ascii="Times New Roman" w:hAnsi="Times New Roman" w:cs="Times New Roman"/>
                <w:sz w:val="20"/>
                <w:szCs w:val="20"/>
              </w:rPr>
              <w:t>, y no se han visto afectadas por AR.</w:t>
            </w:r>
          </w:p>
          <w:p w:rsidR="00F8027E" w:rsidRDefault="00F8027E" w:rsidP="00CB090E">
            <w:pPr>
              <w:spacing w:after="120"/>
              <w:jc w:val="both"/>
              <w:rPr>
                <w:rFonts w:ascii="Times New Roman" w:hAnsi="Times New Roman" w:cs="Times New Roman"/>
                <w:sz w:val="20"/>
                <w:szCs w:val="20"/>
              </w:rPr>
            </w:pPr>
            <w:r w:rsidRPr="00E019AA">
              <w:rPr>
                <w:rFonts w:ascii="Times New Roman" w:hAnsi="Times New Roman" w:cs="Times New Roman"/>
                <w:b/>
                <w:sz w:val="20"/>
                <w:szCs w:val="20"/>
              </w:rPr>
              <w:lastRenderedPageBreak/>
              <w:t>Resultado Ecuaciones b y d-Cuadros 2b y 3b:</w:t>
            </w:r>
            <w:r>
              <w:rPr>
                <w:rFonts w:ascii="Times New Roman" w:hAnsi="Times New Roman" w:cs="Times New Roman"/>
                <w:sz w:val="20"/>
                <w:szCs w:val="20"/>
              </w:rPr>
              <w:t xml:space="preserve"> las participaciones de mercado de los operadores preponderante y entrantes sólo dependen de su valor rezagado y no de AR.</w:t>
            </w:r>
          </w:p>
        </w:tc>
      </w:tr>
    </w:tbl>
    <w:p w:rsidR="00F8027E" w:rsidRDefault="00F8027E" w:rsidP="00F8027E">
      <w:pPr>
        <w:spacing w:after="120" w:line="240" w:lineRule="auto"/>
        <w:jc w:val="both"/>
        <w:rPr>
          <w:rFonts w:ascii="Times New Roman" w:hAnsi="Times New Roman" w:cs="Times New Roman"/>
          <w:sz w:val="20"/>
          <w:szCs w:val="20"/>
        </w:rPr>
      </w:pPr>
    </w:p>
    <w:p w:rsidR="00DB522C" w:rsidRPr="006D38E7" w:rsidRDefault="006C3782" w:rsidP="006D38E7">
      <w:pPr>
        <w:spacing w:after="120" w:line="240" w:lineRule="auto"/>
        <w:jc w:val="both"/>
        <w:rPr>
          <w:rFonts w:ascii="Times New Roman" w:hAnsi="Times New Roman" w:cs="Times New Roman"/>
          <w:sz w:val="20"/>
          <w:szCs w:val="20"/>
        </w:rPr>
      </w:pPr>
      <w:r w:rsidRPr="006D38E7">
        <w:rPr>
          <w:rFonts w:ascii="Times New Roman" w:hAnsi="Times New Roman" w:cs="Times New Roman"/>
          <w:sz w:val="20"/>
          <w:szCs w:val="20"/>
        </w:rPr>
        <w:t>En los</w:t>
      </w:r>
      <w:r w:rsidR="009D3D33" w:rsidRPr="006D38E7">
        <w:rPr>
          <w:rFonts w:ascii="Times New Roman" w:hAnsi="Times New Roman" w:cs="Times New Roman"/>
          <w:sz w:val="20"/>
          <w:szCs w:val="20"/>
        </w:rPr>
        <w:t xml:space="preserve"> </w:t>
      </w:r>
      <w:r w:rsidR="00F25781" w:rsidRPr="006D38E7">
        <w:rPr>
          <w:rFonts w:ascii="Times New Roman" w:hAnsi="Times New Roman" w:cs="Times New Roman"/>
          <w:sz w:val="20"/>
          <w:szCs w:val="20"/>
        </w:rPr>
        <w:t>estudio</w:t>
      </w:r>
      <w:r w:rsidRPr="006D38E7">
        <w:rPr>
          <w:rFonts w:ascii="Times New Roman" w:hAnsi="Times New Roman" w:cs="Times New Roman"/>
          <w:sz w:val="20"/>
          <w:szCs w:val="20"/>
        </w:rPr>
        <w:t>s</w:t>
      </w:r>
      <w:r w:rsidR="00F25781" w:rsidRPr="006D38E7">
        <w:rPr>
          <w:rFonts w:ascii="Times New Roman" w:hAnsi="Times New Roman" w:cs="Times New Roman"/>
          <w:sz w:val="20"/>
          <w:szCs w:val="20"/>
        </w:rPr>
        <w:t xml:space="preserve"> de </w:t>
      </w:r>
      <w:proofErr w:type="spellStart"/>
      <w:r w:rsidR="00F25781" w:rsidRPr="006D38E7">
        <w:rPr>
          <w:rFonts w:ascii="Times New Roman" w:hAnsi="Times New Roman" w:cs="Times New Roman"/>
          <w:sz w:val="20"/>
          <w:szCs w:val="20"/>
        </w:rPr>
        <w:t>Baranes</w:t>
      </w:r>
      <w:proofErr w:type="spellEnd"/>
      <w:r w:rsidR="00F25781" w:rsidRPr="006D38E7">
        <w:rPr>
          <w:rFonts w:ascii="Times New Roman" w:hAnsi="Times New Roman" w:cs="Times New Roman"/>
          <w:sz w:val="20"/>
          <w:szCs w:val="20"/>
        </w:rPr>
        <w:t xml:space="preserve"> et al (2011</w:t>
      </w:r>
      <w:r w:rsidRPr="006D38E7">
        <w:rPr>
          <w:rFonts w:ascii="Times New Roman" w:hAnsi="Times New Roman" w:cs="Times New Roman"/>
          <w:sz w:val="20"/>
          <w:szCs w:val="20"/>
        </w:rPr>
        <w:t xml:space="preserve"> b</w:t>
      </w:r>
      <w:r w:rsidR="00F25781" w:rsidRPr="006D38E7">
        <w:rPr>
          <w:rFonts w:ascii="Times New Roman" w:hAnsi="Times New Roman" w:cs="Times New Roman"/>
          <w:sz w:val="20"/>
          <w:szCs w:val="20"/>
        </w:rPr>
        <w:t>)</w:t>
      </w:r>
      <w:r w:rsidR="00993AF5" w:rsidRPr="006D38E7">
        <w:rPr>
          <w:rFonts w:ascii="Times New Roman" w:hAnsi="Times New Roman" w:cs="Times New Roman"/>
          <w:sz w:val="20"/>
          <w:szCs w:val="20"/>
        </w:rPr>
        <w:t xml:space="preserve"> </w:t>
      </w:r>
      <w:r w:rsidR="00E81962" w:rsidRPr="006D38E7">
        <w:rPr>
          <w:rFonts w:ascii="Times New Roman" w:hAnsi="Times New Roman" w:cs="Times New Roman"/>
          <w:sz w:val="20"/>
          <w:szCs w:val="20"/>
        </w:rPr>
        <w:t xml:space="preserve"> </w:t>
      </w:r>
      <w:r w:rsidRPr="006D38E7">
        <w:rPr>
          <w:rFonts w:ascii="Times New Roman" w:hAnsi="Times New Roman" w:cs="Times New Roman"/>
          <w:sz w:val="20"/>
          <w:szCs w:val="20"/>
        </w:rPr>
        <w:t xml:space="preserve">se </w:t>
      </w:r>
      <w:r w:rsidR="00E81962" w:rsidRPr="006D38E7">
        <w:rPr>
          <w:rFonts w:ascii="Times New Roman" w:hAnsi="Times New Roman" w:cs="Times New Roman"/>
          <w:sz w:val="20"/>
          <w:szCs w:val="20"/>
        </w:rPr>
        <w:t xml:space="preserve">concluye </w:t>
      </w:r>
      <w:r w:rsidR="00343001" w:rsidRPr="006D38E7">
        <w:rPr>
          <w:rFonts w:ascii="Times New Roman" w:hAnsi="Times New Roman" w:cs="Times New Roman"/>
          <w:sz w:val="20"/>
          <w:szCs w:val="20"/>
        </w:rPr>
        <w:t>que la participación de me</w:t>
      </w:r>
      <w:r w:rsidR="001B7549" w:rsidRPr="006D38E7">
        <w:rPr>
          <w:rFonts w:ascii="Times New Roman" w:hAnsi="Times New Roman" w:cs="Times New Roman"/>
          <w:sz w:val="20"/>
          <w:szCs w:val="20"/>
        </w:rPr>
        <w:t>rcado de los entrantes aumenta</w:t>
      </w:r>
      <w:r w:rsidR="00343001" w:rsidRPr="006D38E7">
        <w:rPr>
          <w:rFonts w:ascii="Times New Roman" w:hAnsi="Times New Roman" w:cs="Times New Roman"/>
          <w:sz w:val="20"/>
          <w:szCs w:val="20"/>
        </w:rPr>
        <w:t xml:space="preserve"> como resultado de la regulación asimétrica</w:t>
      </w:r>
      <w:r w:rsidR="00E81962" w:rsidRPr="006D38E7">
        <w:rPr>
          <w:rFonts w:ascii="Times New Roman" w:hAnsi="Times New Roman" w:cs="Times New Roman"/>
          <w:sz w:val="20"/>
          <w:szCs w:val="20"/>
        </w:rPr>
        <w:t>. Esta</w:t>
      </w:r>
      <w:r w:rsidR="009D3D33" w:rsidRPr="006D38E7">
        <w:rPr>
          <w:rFonts w:ascii="Times New Roman" w:hAnsi="Times New Roman" w:cs="Times New Roman"/>
          <w:sz w:val="20"/>
          <w:szCs w:val="20"/>
        </w:rPr>
        <w:t xml:space="preserve"> </w:t>
      </w:r>
      <w:r w:rsidR="00F25781" w:rsidRPr="006D38E7">
        <w:rPr>
          <w:rFonts w:ascii="Times New Roman" w:hAnsi="Times New Roman" w:cs="Times New Roman"/>
          <w:sz w:val="20"/>
          <w:szCs w:val="20"/>
        </w:rPr>
        <w:t xml:space="preserve">no es parte de las conclusiones del modelo de </w:t>
      </w:r>
      <w:proofErr w:type="spellStart"/>
      <w:r w:rsidR="00F25781" w:rsidRPr="006D38E7">
        <w:rPr>
          <w:rFonts w:ascii="Times New Roman" w:hAnsi="Times New Roman" w:cs="Times New Roman"/>
          <w:sz w:val="20"/>
          <w:szCs w:val="20"/>
        </w:rPr>
        <w:t>Peitz</w:t>
      </w:r>
      <w:proofErr w:type="spellEnd"/>
      <w:r w:rsidR="00F25781" w:rsidRPr="006D38E7">
        <w:rPr>
          <w:rStyle w:val="Refdenotaalpie"/>
          <w:rFonts w:ascii="Times New Roman" w:hAnsi="Times New Roman" w:cs="Times New Roman"/>
          <w:sz w:val="20"/>
          <w:szCs w:val="20"/>
        </w:rPr>
        <w:footnoteReference w:id="20"/>
      </w:r>
      <w:r w:rsidR="00972CEC" w:rsidRPr="006D38E7">
        <w:rPr>
          <w:rFonts w:ascii="Times New Roman" w:hAnsi="Times New Roman" w:cs="Times New Roman"/>
          <w:sz w:val="20"/>
          <w:szCs w:val="20"/>
        </w:rPr>
        <w:t xml:space="preserve">. </w:t>
      </w:r>
      <w:r w:rsidR="00B71E19" w:rsidRPr="006D38E7">
        <w:rPr>
          <w:rFonts w:ascii="Times New Roman" w:hAnsi="Times New Roman" w:cs="Times New Roman"/>
          <w:sz w:val="20"/>
          <w:szCs w:val="20"/>
        </w:rPr>
        <w:t>Durante el primer año de impleme</w:t>
      </w:r>
      <w:r w:rsidR="00972CEC" w:rsidRPr="006D38E7">
        <w:rPr>
          <w:rFonts w:ascii="Times New Roman" w:hAnsi="Times New Roman" w:cs="Times New Roman"/>
          <w:sz w:val="20"/>
          <w:szCs w:val="20"/>
        </w:rPr>
        <w:t xml:space="preserve">ntación de las </w:t>
      </w:r>
      <w:r w:rsidR="00E81962" w:rsidRPr="006D38E7">
        <w:rPr>
          <w:rFonts w:ascii="Times New Roman" w:hAnsi="Times New Roman" w:cs="Times New Roman"/>
          <w:sz w:val="20"/>
          <w:szCs w:val="20"/>
        </w:rPr>
        <w:t>TTM</w:t>
      </w:r>
      <w:r w:rsidR="00972CEC" w:rsidRPr="006D38E7">
        <w:rPr>
          <w:rFonts w:ascii="Times New Roman" w:hAnsi="Times New Roman" w:cs="Times New Roman"/>
          <w:sz w:val="20"/>
          <w:szCs w:val="20"/>
        </w:rPr>
        <w:t xml:space="preserve"> asimétricas</w:t>
      </w:r>
      <w:r w:rsidR="00B71E19" w:rsidRPr="006D38E7">
        <w:rPr>
          <w:rFonts w:ascii="Times New Roman" w:hAnsi="Times New Roman" w:cs="Times New Roman"/>
          <w:sz w:val="20"/>
          <w:szCs w:val="20"/>
        </w:rPr>
        <w:t xml:space="preserve"> </w:t>
      </w:r>
      <w:r w:rsidR="00972CEC" w:rsidRPr="006D38E7">
        <w:rPr>
          <w:rFonts w:ascii="Times New Roman" w:hAnsi="Times New Roman" w:cs="Times New Roman"/>
          <w:sz w:val="20"/>
          <w:szCs w:val="20"/>
        </w:rPr>
        <w:t xml:space="preserve">en México </w:t>
      </w:r>
      <w:r w:rsidR="00B71E19" w:rsidRPr="006D38E7">
        <w:rPr>
          <w:rFonts w:ascii="Times New Roman" w:hAnsi="Times New Roman" w:cs="Times New Roman"/>
          <w:sz w:val="20"/>
          <w:szCs w:val="20"/>
        </w:rPr>
        <w:t xml:space="preserve">se aprecia </w:t>
      </w:r>
      <w:r w:rsidR="00315674" w:rsidRPr="006D38E7">
        <w:rPr>
          <w:rFonts w:ascii="Times New Roman" w:hAnsi="Times New Roman" w:cs="Times New Roman"/>
          <w:sz w:val="20"/>
          <w:szCs w:val="20"/>
        </w:rPr>
        <w:t xml:space="preserve">sólo una pequeña </w:t>
      </w:r>
      <w:r w:rsidR="00B71E19" w:rsidRPr="006D38E7">
        <w:rPr>
          <w:rFonts w:ascii="Times New Roman" w:hAnsi="Times New Roman" w:cs="Times New Roman"/>
          <w:sz w:val="20"/>
          <w:szCs w:val="20"/>
        </w:rPr>
        <w:t>reducción de la participación del</w:t>
      </w:r>
      <w:r w:rsidR="00B279FB" w:rsidRPr="006D38E7">
        <w:rPr>
          <w:rFonts w:ascii="Times New Roman" w:hAnsi="Times New Roman" w:cs="Times New Roman"/>
          <w:sz w:val="20"/>
          <w:szCs w:val="20"/>
        </w:rPr>
        <w:t xml:space="preserve"> operador </w:t>
      </w:r>
      <w:r w:rsidR="000C0221" w:rsidRPr="006D38E7">
        <w:rPr>
          <w:rFonts w:ascii="Times New Roman" w:hAnsi="Times New Roman" w:cs="Times New Roman"/>
          <w:sz w:val="20"/>
          <w:szCs w:val="20"/>
        </w:rPr>
        <w:t>preponderante</w:t>
      </w:r>
      <w:r w:rsidR="00B279FB" w:rsidRPr="006D38E7">
        <w:rPr>
          <w:rFonts w:ascii="Times New Roman" w:hAnsi="Times New Roman" w:cs="Times New Roman"/>
          <w:sz w:val="20"/>
          <w:szCs w:val="20"/>
        </w:rPr>
        <w:t xml:space="preserve"> de 70.2% en </w:t>
      </w:r>
      <w:r w:rsidR="00637F28" w:rsidRPr="006D38E7">
        <w:rPr>
          <w:rFonts w:ascii="Times New Roman" w:hAnsi="Times New Roman" w:cs="Times New Roman"/>
          <w:sz w:val="20"/>
          <w:szCs w:val="20"/>
        </w:rPr>
        <w:t>marzo 2014 a 68.3</w:t>
      </w:r>
      <w:r w:rsidR="00B71E19" w:rsidRPr="006D38E7">
        <w:rPr>
          <w:rFonts w:ascii="Times New Roman" w:hAnsi="Times New Roman" w:cs="Times New Roman"/>
          <w:sz w:val="20"/>
          <w:szCs w:val="20"/>
        </w:rPr>
        <w:t>%</w:t>
      </w:r>
      <w:r w:rsidR="00B279FB" w:rsidRPr="006D38E7">
        <w:rPr>
          <w:rFonts w:ascii="Times New Roman" w:hAnsi="Times New Roman" w:cs="Times New Roman"/>
          <w:sz w:val="20"/>
          <w:szCs w:val="20"/>
        </w:rPr>
        <w:t xml:space="preserve"> en </w:t>
      </w:r>
      <w:r w:rsidR="00637F28" w:rsidRPr="006D38E7">
        <w:rPr>
          <w:rFonts w:ascii="Times New Roman" w:hAnsi="Times New Roman" w:cs="Times New Roman"/>
          <w:sz w:val="20"/>
          <w:szCs w:val="20"/>
        </w:rPr>
        <w:t>diciembre</w:t>
      </w:r>
      <w:r w:rsidR="00E81962" w:rsidRPr="006D38E7">
        <w:rPr>
          <w:rFonts w:ascii="Times New Roman" w:hAnsi="Times New Roman" w:cs="Times New Roman"/>
          <w:sz w:val="20"/>
          <w:szCs w:val="20"/>
        </w:rPr>
        <w:t xml:space="preserve"> de 2015 (</w:t>
      </w:r>
      <w:r w:rsidR="00EB3EE4" w:rsidRPr="006D38E7">
        <w:rPr>
          <w:rFonts w:ascii="Times New Roman" w:hAnsi="Times New Roman" w:cs="Times New Roman"/>
          <w:sz w:val="20"/>
          <w:szCs w:val="20"/>
        </w:rPr>
        <w:t>Gráfica</w:t>
      </w:r>
      <w:r w:rsidR="00090F78" w:rsidRPr="006D38E7">
        <w:rPr>
          <w:rFonts w:ascii="Times New Roman" w:hAnsi="Times New Roman" w:cs="Times New Roman"/>
          <w:sz w:val="20"/>
          <w:szCs w:val="20"/>
        </w:rPr>
        <w:t xml:space="preserve"> </w:t>
      </w:r>
      <w:r w:rsidR="00492B60">
        <w:rPr>
          <w:rFonts w:ascii="Times New Roman" w:hAnsi="Times New Roman" w:cs="Times New Roman"/>
          <w:sz w:val="20"/>
          <w:szCs w:val="20"/>
        </w:rPr>
        <w:t>3</w:t>
      </w:r>
      <w:r w:rsidR="00EB3EE4" w:rsidRPr="006D38E7">
        <w:rPr>
          <w:rFonts w:ascii="Times New Roman" w:hAnsi="Times New Roman" w:cs="Times New Roman"/>
          <w:sz w:val="20"/>
          <w:szCs w:val="20"/>
        </w:rPr>
        <w:t xml:space="preserve">). </w:t>
      </w:r>
      <w:r w:rsidR="009D75EA" w:rsidRPr="006D38E7">
        <w:rPr>
          <w:rFonts w:ascii="Times New Roman" w:hAnsi="Times New Roman" w:cs="Times New Roman"/>
          <w:sz w:val="20"/>
          <w:szCs w:val="20"/>
        </w:rPr>
        <w:t xml:space="preserve">Esa participación de mercado ha sido ganada </w:t>
      </w:r>
      <w:r w:rsidR="00B279FB" w:rsidRPr="006D38E7">
        <w:rPr>
          <w:rFonts w:ascii="Times New Roman" w:hAnsi="Times New Roman" w:cs="Times New Roman"/>
          <w:sz w:val="20"/>
          <w:szCs w:val="20"/>
        </w:rPr>
        <w:t xml:space="preserve">fundamentalmente </w:t>
      </w:r>
      <w:r w:rsidR="009D75EA" w:rsidRPr="006D38E7">
        <w:rPr>
          <w:rFonts w:ascii="Times New Roman" w:hAnsi="Times New Roman" w:cs="Times New Roman"/>
          <w:sz w:val="20"/>
          <w:szCs w:val="20"/>
        </w:rPr>
        <w:t xml:space="preserve">por </w:t>
      </w:r>
      <w:r w:rsidR="00E83967" w:rsidRPr="006D38E7">
        <w:rPr>
          <w:rFonts w:ascii="Times New Roman" w:hAnsi="Times New Roman" w:cs="Times New Roman"/>
          <w:sz w:val="20"/>
          <w:szCs w:val="20"/>
        </w:rPr>
        <w:t xml:space="preserve">la segunda empresa del mercado, </w:t>
      </w:r>
      <w:r w:rsidR="009D75EA" w:rsidRPr="006D38E7">
        <w:rPr>
          <w:rFonts w:ascii="Times New Roman" w:hAnsi="Times New Roman" w:cs="Times New Roman"/>
          <w:sz w:val="20"/>
          <w:szCs w:val="20"/>
        </w:rPr>
        <w:t xml:space="preserve">Movistar. </w:t>
      </w:r>
      <w:r w:rsidR="00492B60">
        <w:rPr>
          <w:rFonts w:ascii="Times New Roman" w:hAnsi="Times New Roman" w:cs="Times New Roman"/>
          <w:sz w:val="20"/>
          <w:szCs w:val="20"/>
        </w:rPr>
        <w:t xml:space="preserve">Contrario al postulado de </w:t>
      </w:r>
      <w:proofErr w:type="spellStart"/>
      <w:r w:rsidR="00492B60">
        <w:rPr>
          <w:rFonts w:ascii="Times New Roman" w:hAnsi="Times New Roman" w:cs="Times New Roman"/>
          <w:sz w:val="20"/>
          <w:szCs w:val="20"/>
        </w:rPr>
        <w:t>Baranes</w:t>
      </w:r>
      <w:proofErr w:type="spellEnd"/>
      <w:r w:rsidR="00492B60">
        <w:rPr>
          <w:rFonts w:ascii="Times New Roman" w:hAnsi="Times New Roman" w:cs="Times New Roman"/>
          <w:sz w:val="20"/>
          <w:szCs w:val="20"/>
        </w:rPr>
        <w:t>, t</w:t>
      </w:r>
      <w:r w:rsidR="00DB522C" w:rsidRPr="006D38E7">
        <w:rPr>
          <w:rFonts w:ascii="Times New Roman" w:hAnsi="Times New Roman" w:cs="Times New Roman"/>
          <w:sz w:val="20"/>
          <w:szCs w:val="20"/>
        </w:rPr>
        <w:t>ratándose de</w:t>
      </w:r>
      <w:r w:rsidR="00381A92">
        <w:rPr>
          <w:rFonts w:ascii="Times New Roman" w:hAnsi="Times New Roman" w:cs="Times New Roman"/>
          <w:sz w:val="20"/>
          <w:szCs w:val="20"/>
        </w:rPr>
        <w:t xml:space="preserve"> AT&amp;T</w:t>
      </w:r>
      <w:r w:rsidR="00315674" w:rsidRPr="006D38E7">
        <w:rPr>
          <w:rFonts w:ascii="Times New Roman" w:hAnsi="Times New Roman" w:cs="Times New Roman"/>
          <w:sz w:val="20"/>
          <w:szCs w:val="20"/>
        </w:rPr>
        <w:t>,</w:t>
      </w:r>
      <w:r w:rsidR="00381A92">
        <w:rPr>
          <w:rFonts w:ascii="Times New Roman" w:hAnsi="Times New Roman" w:cs="Times New Roman"/>
          <w:sz w:val="20"/>
          <w:szCs w:val="20"/>
        </w:rPr>
        <w:t xml:space="preserve"> </w:t>
      </w:r>
      <w:r w:rsidR="008561D6" w:rsidRPr="006D38E7">
        <w:rPr>
          <w:rFonts w:ascii="Times New Roman" w:hAnsi="Times New Roman" w:cs="Times New Roman"/>
          <w:sz w:val="20"/>
          <w:szCs w:val="20"/>
        </w:rPr>
        <w:t xml:space="preserve"> se observa</w:t>
      </w:r>
      <w:r w:rsidR="00DB522C" w:rsidRPr="006D38E7">
        <w:rPr>
          <w:rFonts w:ascii="Times New Roman" w:hAnsi="Times New Roman" w:cs="Times New Roman"/>
          <w:sz w:val="20"/>
          <w:szCs w:val="20"/>
        </w:rPr>
        <w:t xml:space="preserve"> </w:t>
      </w:r>
      <w:r w:rsidR="00381A92">
        <w:rPr>
          <w:rFonts w:ascii="Times New Roman" w:hAnsi="Times New Roman" w:cs="Times New Roman"/>
          <w:sz w:val="20"/>
          <w:szCs w:val="20"/>
        </w:rPr>
        <w:t>una ligera pérdida en su participación durante l</w:t>
      </w:r>
      <w:r w:rsidR="007700A1" w:rsidRPr="006D38E7">
        <w:rPr>
          <w:rFonts w:ascii="Times New Roman" w:hAnsi="Times New Roman" w:cs="Times New Roman"/>
          <w:sz w:val="20"/>
          <w:szCs w:val="20"/>
        </w:rPr>
        <w:t xml:space="preserve">os </w:t>
      </w:r>
      <w:r w:rsidR="00381A92">
        <w:rPr>
          <w:rFonts w:ascii="Times New Roman" w:hAnsi="Times New Roman" w:cs="Times New Roman"/>
          <w:sz w:val="20"/>
          <w:szCs w:val="20"/>
        </w:rPr>
        <w:t xml:space="preserve">últimos </w:t>
      </w:r>
      <w:r w:rsidR="007700A1" w:rsidRPr="006D38E7">
        <w:rPr>
          <w:rFonts w:ascii="Times New Roman" w:hAnsi="Times New Roman" w:cs="Times New Roman"/>
          <w:sz w:val="20"/>
          <w:szCs w:val="20"/>
        </w:rPr>
        <w:t>meses</w:t>
      </w:r>
      <w:r w:rsidR="00DB522C" w:rsidRPr="006D38E7">
        <w:rPr>
          <w:rFonts w:ascii="Times New Roman" w:hAnsi="Times New Roman" w:cs="Times New Roman"/>
          <w:sz w:val="20"/>
          <w:szCs w:val="20"/>
        </w:rPr>
        <w:t xml:space="preserve">. </w:t>
      </w:r>
      <w:r w:rsidR="00492B60" w:rsidRPr="006D38E7">
        <w:rPr>
          <w:rFonts w:ascii="Times New Roman" w:hAnsi="Times New Roman" w:cs="Times New Roman"/>
          <w:sz w:val="20"/>
          <w:szCs w:val="20"/>
        </w:rPr>
        <w:t xml:space="preserve">AT&amp;T </w:t>
      </w:r>
      <w:r w:rsidR="00492B60">
        <w:rPr>
          <w:rFonts w:ascii="Times New Roman" w:hAnsi="Times New Roman" w:cs="Times New Roman"/>
          <w:sz w:val="20"/>
          <w:szCs w:val="20"/>
        </w:rPr>
        <w:t xml:space="preserve">concentró recientemente Nextel, Iusacell y </w:t>
      </w:r>
      <w:proofErr w:type="spellStart"/>
      <w:r w:rsidR="00492B60">
        <w:rPr>
          <w:rFonts w:ascii="Times New Roman" w:hAnsi="Times New Roman" w:cs="Times New Roman"/>
          <w:sz w:val="20"/>
          <w:szCs w:val="20"/>
        </w:rPr>
        <w:t>Unefon</w:t>
      </w:r>
      <w:proofErr w:type="spellEnd"/>
      <w:r w:rsidR="00DB522C" w:rsidRPr="006D38E7">
        <w:rPr>
          <w:rStyle w:val="Refdenotaalpie"/>
          <w:rFonts w:ascii="Times New Roman" w:hAnsi="Times New Roman" w:cs="Times New Roman"/>
          <w:sz w:val="20"/>
          <w:szCs w:val="20"/>
        </w:rPr>
        <w:footnoteReference w:id="21"/>
      </w:r>
      <w:r w:rsidR="00DB522C" w:rsidRPr="006D38E7">
        <w:rPr>
          <w:rFonts w:ascii="Times New Roman" w:hAnsi="Times New Roman" w:cs="Times New Roman"/>
          <w:sz w:val="20"/>
          <w:szCs w:val="20"/>
        </w:rPr>
        <w:t xml:space="preserve">, por lo que </w:t>
      </w:r>
      <w:r w:rsidR="00B203B8" w:rsidRPr="006D38E7">
        <w:rPr>
          <w:rFonts w:ascii="Times New Roman" w:hAnsi="Times New Roman" w:cs="Times New Roman"/>
          <w:sz w:val="20"/>
          <w:szCs w:val="20"/>
        </w:rPr>
        <w:t xml:space="preserve">durante el periodo estudiado </w:t>
      </w:r>
      <w:r w:rsidR="00DB522C" w:rsidRPr="006D38E7">
        <w:rPr>
          <w:rFonts w:ascii="Times New Roman" w:hAnsi="Times New Roman" w:cs="Times New Roman"/>
          <w:sz w:val="20"/>
          <w:szCs w:val="20"/>
        </w:rPr>
        <w:t xml:space="preserve">se encontraban </w:t>
      </w:r>
      <w:r w:rsidR="00B75A5F" w:rsidRPr="006D38E7">
        <w:rPr>
          <w:rFonts w:ascii="Times New Roman" w:hAnsi="Times New Roman" w:cs="Times New Roman"/>
          <w:sz w:val="20"/>
          <w:szCs w:val="20"/>
        </w:rPr>
        <w:t xml:space="preserve">bajo un proceso de </w:t>
      </w:r>
      <w:r w:rsidR="00E66EB6" w:rsidRPr="006D38E7">
        <w:rPr>
          <w:rFonts w:ascii="Times New Roman" w:hAnsi="Times New Roman" w:cs="Times New Roman"/>
          <w:sz w:val="20"/>
          <w:szCs w:val="20"/>
        </w:rPr>
        <w:t>transición</w:t>
      </w:r>
      <w:r w:rsidR="008561D6" w:rsidRPr="006D38E7">
        <w:rPr>
          <w:rFonts w:ascii="Times New Roman" w:hAnsi="Times New Roman" w:cs="Times New Roman"/>
          <w:sz w:val="20"/>
          <w:szCs w:val="20"/>
        </w:rPr>
        <w:t xml:space="preserve"> administrativa, que pudo </w:t>
      </w:r>
      <w:r w:rsidR="00E66EB6" w:rsidRPr="006D38E7">
        <w:rPr>
          <w:rFonts w:ascii="Times New Roman" w:hAnsi="Times New Roman" w:cs="Times New Roman"/>
          <w:sz w:val="20"/>
          <w:szCs w:val="20"/>
        </w:rPr>
        <w:t>ser un inhibidor de la agresividad comercial.</w:t>
      </w:r>
      <w:r w:rsidR="00492B60">
        <w:rPr>
          <w:rFonts w:ascii="Times New Roman" w:hAnsi="Times New Roman" w:cs="Times New Roman"/>
          <w:sz w:val="20"/>
          <w:szCs w:val="20"/>
        </w:rPr>
        <w:t xml:space="preserve"> </w:t>
      </w:r>
      <w:r w:rsidR="00E66EB6" w:rsidRPr="006D38E7">
        <w:rPr>
          <w:rFonts w:ascii="Times New Roman" w:hAnsi="Times New Roman" w:cs="Times New Roman"/>
          <w:sz w:val="20"/>
          <w:szCs w:val="20"/>
        </w:rPr>
        <w:t xml:space="preserve"> </w:t>
      </w:r>
      <w:r w:rsidR="00DB522C" w:rsidRPr="006D38E7">
        <w:rPr>
          <w:rFonts w:ascii="Times New Roman" w:hAnsi="Times New Roman" w:cs="Times New Roman"/>
          <w:sz w:val="20"/>
          <w:szCs w:val="20"/>
        </w:rPr>
        <w:t xml:space="preserve"> </w:t>
      </w:r>
    </w:p>
    <w:p w:rsidR="00090F78" w:rsidRPr="006D38E7" w:rsidRDefault="00090F78" w:rsidP="00B71AE9">
      <w:pPr>
        <w:spacing w:after="120" w:line="240" w:lineRule="auto"/>
        <w:jc w:val="both"/>
        <w:rPr>
          <w:rFonts w:ascii="Times New Roman" w:hAnsi="Times New Roman" w:cs="Times New Roman"/>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5238"/>
        <w:gridCol w:w="60"/>
        <w:gridCol w:w="4986"/>
      </w:tblGrid>
      <w:tr w:rsidR="0098403F" w:rsidRPr="006D38E7" w:rsidTr="006278EE">
        <w:tc>
          <w:tcPr>
            <w:tcW w:w="5238" w:type="dxa"/>
          </w:tcPr>
          <w:p w:rsidR="00A9233B" w:rsidRPr="006D38E7" w:rsidRDefault="0027213C" w:rsidP="0098403F">
            <w:pPr>
              <w:spacing w:line="360" w:lineRule="auto"/>
              <w:ind w:firstLine="567"/>
              <w:jc w:val="both"/>
              <w:rPr>
                <w:rFonts w:ascii="Times New Roman" w:hAnsi="Times New Roman" w:cs="Times New Roman"/>
                <w:b/>
                <w:sz w:val="20"/>
                <w:szCs w:val="20"/>
              </w:rPr>
            </w:pPr>
            <w:r>
              <w:rPr>
                <w:rFonts w:ascii="Times New Roman" w:hAnsi="Times New Roman" w:cs="Times New Roman"/>
                <w:b/>
                <w:noProof/>
                <w:sz w:val="20"/>
                <w:szCs w:val="20"/>
                <w:lang w:eastAsia="es-MX"/>
              </w:rPr>
              <w:drawing>
                <wp:inline distT="0" distB="0" distL="0" distR="0" wp14:anchorId="67D36FA8" wp14:editId="356F7632">
                  <wp:extent cx="2867025" cy="1799590"/>
                  <wp:effectExtent l="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0117" cy="1801531"/>
                          </a:xfrm>
                          <a:prstGeom prst="rect">
                            <a:avLst/>
                          </a:prstGeom>
                          <a:noFill/>
                        </pic:spPr>
                      </pic:pic>
                    </a:graphicData>
                  </a:graphic>
                </wp:inline>
              </w:drawing>
            </w:r>
          </w:p>
          <w:p w:rsidR="00A9233B" w:rsidRPr="006D38E7" w:rsidRDefault="00A9233B" w:rsidP="00A9233B">
            <w:pPr>
              <w:spacing w:line="360" w:lineRule="auto"/>
              <w:ind w:firstLine="708"/>
              <w:jc w:val="center"/>
              <w:rPr>
                <w:rFonts w:ascii="Times New Roman" w:hAnsi="Times New Roman" w:cs="Times New Roman"/>
                <w:b/>
                <w:sz w:val="20"/>
                <w:szCs w:val="20"/>
              </w:rPr>
            </w:pPr>
          </w:p>
        </w:tc>
        <w:tc>
          <w:tcPr>
            <w:tcW w:w="5046" w:type="dxa"/>
            <w:gridSpan w:val="2"/>
          </w:tcPr>
          <w:p w:rsidR="00A9233B" w:rsidRDefault="00272B7A" w:rsidP="0098403F">
            <w:pPr>
              <w:spacing w:line="360" w:lineRule="auto"/>
              <w:jc w:val="center"/>
              <w:rPr>
                <w:rFonts w:ascii="Times New Roman" w:hAnsi="Times New Roman" w:cs="Times New Roman"/>
                <w:b/>
                <w:sz w:val="20"/>
                <w:szCs w:val="20"/>
              </w:rPr>
            </w:pPr>
            <w:r>
              <w:rPr>
                <w:rFonts w:ascii="Times New Roman" w:hAnsi="Times New Roman" w:cs="Times New Roman"/>
                <w:b/>
                <w:noProof/>
                <w:sz w:val="20"/>
                <w:szCs w:val="20"/>
                <w:lang w:eastAsia="es-MX"/>
              </w:rPr>
              <w:drawing>
                <wp:inline distT="0" distB="0" distL="0" distR="0" wp14:anchorId="5B10EB6D">
                  <wp:extent cx="2519045" cy="1776412"/>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3789" cy="1779758"/>
                          </a:xfrm>
                          <a:prstGeom prst="rect">
                            <a:avLst/>
                          </a:prstGeom>
                          <a:noFill/>
                        </pic:spPr>
                      </pic:pic>
                    </a:graphicData>
                  </a:graphic>
                </wp:inline>
              </w:drawing>
            </w:r>
          </w:p>
          <w:p w:rsidR="006278EE" w:rsidRPr="006D38E7" w:rsidRDefault="006278EE" w:rsidP="006278EE">
            <w:pPr>
              <w:spacing w:line="360" w:lineRule="auto"/>
              <w:rPr>
                <w:rFonts w:ascii="Times New Roman" w:hAnsi="Times New Roman" w:cs="Times New Roman"/>
                <w:b/>
                <w:sz w:val="20"/>
                <w:szCs w:val="20"/>
              </w:rPr>
            </w:pPr>
          </w:p>
        </w:tc>
      </w:tr>
      <w:tr w:rsidR="0098403F" w:rsidRPr="006D38E7" w:rsidTr="006278EE">
        <w:trPr>
          <w:trHeight w:val="4163"/>
        </w:trPr>
        <w:tc>
          <w:tcPr>
            <w:tcW w:w="5298" w:type="dxa"/>
            <w:gridSpan w:val="2"/>
          </w:tcPr>
          <w:p w:rsidR="00286EE5" w:rsidRPr="00B70C78" w:rsidRDefault="006F2A90" w:rsidP="0098403F">
            <w:pPr>
              <w:ind w:firstLine="567"/>
              <w:jc w:val="center"/>
              <w:rPr>
                <w:rFonts w:ascii="Times New Roman" w:hAnsi="Times New Roman" w:cs="Times New Roman"/>
                <w:b/>
                <w:bCs/>
                <w:sz w:val="20"/>
                <w:szCs w:val="20"/>
                <w:highlight w:val="yellow"/>
              </w:rPr>
            </w:pPr>
            <w:r>
              <w:rPr>
                <w:rFonts w:ascii="Times New Roman" w:hAnsi="Times New Roman" w:cs="Times New Roman"/>
                <w:b/>
                <w:bCs/>
                <w:noProof/>
                <w:sz w:val="20"/>
                <w:szCs w:val="20"/>
                <w:highlight w:val="yellow"/>
                <w:lang w:eastAsia="es-MX"/>
              </w:rPr>
              <w:drawing>
                <wp:inline distT="0" distB="0" distL="0" distR="0" wp14:anchorId="3F9BD8CE">
                  <wp:extent cx="2837668" cy="1798955"/>
                  <wp:effectExtent l="0" t="0" r="127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6420" cy="1804503"/>
                          </a:xfrm>
                          <a:prstGeom prst="rect">
                            <a:avLst/>
                          </a:prstGeom>
                          <a:noFill/>
                        </pic:spPr>
                      </pic:pic>
                    </a:graphicData>
                  </a:graphic>
                </wp:inline>
              </w:drawing>
            </w:r>
          </w:p>
        </w:tc>
        <w:tc>
          <w:tcPr>
            <w:tcW w:w="4986" w:type="dxa"/>
          </w:tcPr>
          <w:p w:rsidR="00286EE5" w:rsidRPr="006D38E7" w:rsidRDefault="0098403F" w:rsidP="00635A0D">
            <w:pPr>
              <w:jc w:val="center"/>
              <w:rPr>
                <w:rFonts w:ascii="Times New Roman" w:hAnsi="Times New Roman" w:cs="Times New Roman"/>
                <w:b/>
                <w:bCs/>
                <w:sz w:val="20"/>
                <w:szCs w:val="20"/>
              </w:rPr>
            </w:pPr>
            <w:r>
              <w:rPr>
                <w:rFonts w:ascii="Times New Roman" w:hAnsi="Times New Roman" w:cs="Times New Roman"/>
                <w:b/>
                <w:bCs/>
                <w:noProof/>
                <w:sz w:val="20"/>
                <w:szCs w:val="20"/>
                <w:lang w:eastAsia="es-MX"/>
              </w:rPr>
              <w:drawing>
                <wp:inline distT="0" distB="0" distL="0" distR="0" wp14:anchorId="15B7449E">
                  <wp:extent cx="2519185" cy="1757362"/>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2174" cy="1759447"/>
                          </a:xfrm>
                          <a:prstGeom prst="rect">
                            <a:avLst/>
                          </a:prstGeom>
                          <a:noFill/>
                        </pic:spPr>
                      </pic:pic>
                    </a:graphicData>
                  </a:graphic>
                </wp:inline>
              </w:drawing>
            </w:r>
          </w:p>
        </w:tc>
      </w:tr>
    </w:tbl>
    <w:p w:rsidR="006278EE" w:rsidRDefault="006278EE" w:rsidP="006278EE">
      <w:pPr>
        <w:spacing w:after="120" w:line="240" w:lineRule="auto"/>
        <w:jc w:val="both"/>
        <w:rPr>
          <w:rFonts w:ascii="Times New Roman" w:hAnsi="Times New Roman" w:cs="Times New Roman"/>
          <w:sz w:val="20"/>
          <w:szCs w:val="20"/>
        </w:rPr>
      </w:pPr>
      <w:r w:rsidRPr="006D38E7">
        <w:rPr>
          <w:rFonts w:ascii="Times New Roman" w:hAnsi="Times New Roman" w:cs="Times New Roman"/>
          <w:sz w:val="20"/>
          <w:szCs w:val="20"/>
        </w:rPr>
        <w:t xml:space="preserve">La introducción de las TTM asimétricas, así como </w:t>
      </w:r>
      <w:r>
        <w:rPr>
          <w:rFonts w:ascii="Times New Roman" w:hAnsi="Times New Roman" w:cs="Times New Roman"/>
          <w:sz w:val="20"/>
          <w:szCs w:val="20"/>
        </w:rPr>
        <w:t xml:space="preserve">la de </w:t>
      </w:r>
      <w:r w:rsidRPr="006D38E7">
        <w:rPr>
          <w:rFonts w:ascii="Times New Roman" w:hAnsi="Times New Roman" w:cs="Times New Roman"/>
          <w:sz w:val="20"/>
          <w:szCs w:val="20"/>
        </w:rPr>
        <w:t>otr</w:t>
      </w:r>
      <w:r>
        <w:rPr>
          <w:rFonts w:ascii="Times New Roman" w:hAnsi="Times New Roman" w:cs="Times New Roman"/>
          <w:sz w:val="20"/>
          <w:szCs w:val="20"/>
        </w:rPr>
        <w:t>as medidas regulatorias, parece</w:t>
      </w:r>
      <w:r w:rsidRPr="006D38E7">
        <w:rPr>
          <w:rFonts w:ascii="Times New Roman" w:hAnsi="Times New Roman" w:cs="Times New Roman"/>
          <w:sz w:val="20"/>
          <w:szCs w:val="20"/>
        </w:rPr>
        <w:t xml:space="preserve"> tener un efecto positivo en</w:t>
      </w:r>
      <w:r>
        <w:rPr>
          <w:rFonts w:ascii="Times New Roman" w:hAnsi="Times New Roman" w:cs="Times New Roman"/>
          <w:sz w:val="20"/>
          <w:szCs w:val="20"/>
        </w:rPr>
        <w:t xml:space="preserve"> la competencia de corto plazo ya que se reporta </w:t>
      </w:r>
      <w:r w:rsidRPr="006D38E7">
        <w:rPr>
          <w:rFonts w:ascii="Times New Roman" w:hAnsi="Times New Roman" w:cs="Times New Roman"/>
          <w:sz w:val="20"/>
          <w:szCs w:val="20"/>
        </w:rPr>
        <w:t xml:space="preserve">en una </w:t>
      </w:r>
      <w:r>
        <w:rPr>
          <w:rFonts w:ascii="Times New Roman" w:hAnsi="Times New Roman" w:cs="Times New Roman"/>
          <w:sz w:val="20"/>
          <w:szCs w:val="20"/>
        </w:rPr>
        <w:t xml:space="preserve">ligera </w:t>
      </w:r>
      <w:r w:rsidRPr="006D38E7">
        <w:rPr>
          <w:rFonts w:ascii="Times New Roman" w:hAnsi="Times New Roman" w:cs="Times New Roman"/>
          <w:sz w:val="20"/>
          <w:szCs w:val="20"/>
        </w:rPr>
        <w:t>reducción</w:t>
      </w:r>
      <w:r>
        <w:rPr>
          <w:rFonts w:ascii="Times New Roman" w:hAnsi="Times New Roman" w:cs="Times New Roman"/>
          <w:sz w:val="20"/>
          <w:szCs w:val="20"/>
        </w:rPr>
        <w:t xml:space="preserve"> del IHH, la cual</w:t>
      </w:r>
      <w:r w:rsidRPr="006D38E7">
        <w:rPr>
          <w:rFonts w:ascii="Times New Roman" w:hAnsi="Times New Roman" w:cs="Times New Roman"/>
          <w:sz w:val="20"/>
          <w:szCs w:val="20"/>
        </w:rPr>
        <w:t xml:space="preserve"> no </w:t>
      </w:r>
      <w:r>
        <w:rPr>
          <w:rFonts w:ascii="Times New Roman" w:hAnsi="Times New Roman" w:cs="Times New Roman"/>
          <w:sz w:val="20"/>
          <w:szCs w:val="20"/>
        </w:rPr>
        <w:t xml:space="preserve">es </w:t>
      </w:r>
      <w:r w:rsidRPr="006D38E7">
        <w:rPr>
          <w:rFonts w:ascii="Times New Roman" w:hAnsi="Times New Roman" w:cs="Times New Roman"/>
          <w:sz w:val="20"/>
          <w:szCs w:val="20"/>
        </w:rPr>
        <w:t xml:space="preserve">constante ni significativa, pero si gradual. Entre el primer </w:t>
      </w:r>
      <w:r>
        <w:rPr>
          <w:rFonts w:ascii="Times New Roman" w:hAnsi="Times New Roman" w:cs="Times New Roman"/>
          <w:sz w:val="20"/>
          <w:szCs w:val="20"/>
        </w:rPr>
        <w:t>trimestre de 2014 y el ú</w:t>
      </w:r>
      <w:r w:rsidRPr="006D38E7">
        <w:rPr>
          <w:rFonts w:ascii="Times New Roman" w:hAnsi="Times New Roman" w:cs="Times New Roman"/>
          <w:sz w:val="20"/>
          <w:szCs w:val="20"/>
        </w:rPr>
        <w:t>ltimo de 2015 el índice IHH pasa de 5,350 a 5,319  (</w:t>
      </w:r>
      <w:r>
        <w:rPr>
          <w:rFonts w:ascii="Times New Roman" w:hAnsi="Times New Roman" w:cs="Times New Roman"/>
          <w:sz w:val="20"/>
          <w:szCs w:val="20"/>
        </w:rPr>
        <w:t>Gráfica 4</w:t>
      </w:r>
      <w:r w:rsidRPr="006D38E7">
        <w:rPr>
          <w:rFonts w:ascii="Times New Roman" w:hAnsi="Times New Roman" w:cs="Times New Roman"/>
          <w:sz w:val="20"/>
          <w:szCs w:val="20"/>
        </w:rPr>
        <w:t>).</w:t>
      </w:r>
      <w:r>
        <w:rPr>
          <w:rFonts w:ascii="Times New Roman" w:hAnsi="Times New Roman" w:cs="Times New Roman"/>
          <w:sz w:val="20"/>
          <w:szCs w:val="20"/>
        </w:rPr>
        <w:t xml:space="preserve"> Signos de que la competencia </w:t>
      </w:r>
      <w:r w:rsidR="00326038">
        <w:rPr>
          <w:rFonts w:ascii="Times New Roman" w:hAnsi="Times New Roman" w:cs="Times New Roman"/>
          <w:sz w:val="20"/>
          <w:szCs w:val="20"/>
        </w:rPr>
        <w:t xml:space="preserve">en el corto plazo </w:t>
      </w:r>
      <w:r>
        <w:rPr>
          <w:rFonts w:ascii="Times New Roman" w:hAnsi="Times New Roman" w:cs="Times New Roman"/>
          <w:sz w:val="20"/>
          <w:szCs w:val="20"/>
        </w:rPr>
        <w:t xml:space="preserve">se ha promovido en el mercado son: la reducción de precios al consumidor; la convergencia del ingreso promedio por suscriptor y del margen </w:t>
      </w:r>
      <w:proofErr w:type="spellStart"/>
      <w:r>
        <w:rPr>
          <w:rFonts w:ascii="Times New Roman" w:hAnsi="Times New Roman" w:cs="Times New Roman"/>
          <w:sz w:val="20"/>
          <w:szCs w:val="20"/>
        </w:rPr>
        <w:t>Ebdita</w:t>
      </w:r>
      <w:proofErr w:type="spellEnd"/>
      <w:r>
        <w:rPr>
          <w:rFonts w:ascii="Times New Roman" w:hAnsi="Times New Roman" w:cs="Times New Roman"/>
          <w:sz w:val="20"/>
          <w:szCs w:val="20"/>
        </w:rPr>
        <w:t>.</w:t>
      </w:r>
    </w:p>
    <w:p w:rsidR="006278EE" w:rsidRDefault="006278EE" w:rsidP="006278EE">
      <w:pPr>
        <w:spacing w:after="120" w:line="240" w:lineRule="auto"/>
        <w:jc w:val="both"/>
        <w:rPr>
          <w:rFonts w:ascii="Times New Roman" w:hAnsi="Times New Roman" w:cs="Times New Roman"/>
          <w:sz w:val="20"/>
          <w:szCs w:val="20"/>
        </w:rPr>
      </w:pPr>
    </w:p>
    <w:p w:rsidR="00813898" w:rsidRPr="006D38E7" w:rsidRDefault="00315674" w:rsidP="000C62C6">
      <w:pPr>
        <w:spacing w:line="480" w:lineRule="auto"/>
        <w:jc w:val="both"/>
        <w:rPr>
          <w:rFonts w:ascii="Arial" w:hAnsi="Arial" w:cs="Arial"/>
          <w:sz w:val="18"/>
          <w:szCs w:val="18"/>
        </w:rPr>
      </w:pPr>
      <w:r w:rsidRPr="006D38E7">
        <w:rPr>
          <w:rFonts w:ascii="Arial" w:hAnsi="Arial" w:cs="Arial"/>
          <w:b/>
          <w:sz w:val="18"/>
          <w:szCs w:val="18"/>
        </w:rPr>
        <w:t xml:space="preserve">Evaluación de la Conclusión: </w:t>
      </w:r>
      <w:r w:rsidR="00813898" w:rsidRPr="006D38E7">
        <w:rPr>
          <w:rFonts w:ascii="Arial" w:hAnsi="Arial" w:cs="Arial"/>
          <w:b/>
          <w:sz w:val="18"/>
          <w:szCs w:val="18"/>
        </w:rPr>
        <w:t>Aumento de</w:t>
      </w:r>
      <w:r w:rsidRPr="006D38E7">
        <w:rPr>
          <w:rFonts w:ascii="Arial" w:hAnsi="Arial" w:cs="Arial"/>
          <w:b/>
          <w:sz w:val="18"/>
          <w:szCs w:val="18"/>
        </w:rPr>
        <w:t xml:space="preserve">l excedente </w:t>
      </w:r>
      <w:r w:rsidR="00813898" w:rsidRPr="006D38E7">
        <w:rPr>
          <w:rFonts w:ascii="Arial" w:hAnsi="Arial" w:cs="Arial"/>
          <w:b/>
          <w:sz w:val="18"/>
          <w:szCs w:val="18"/>
        </w:rPr>
        <w:t>de los consumidor</w:t>
      </w:r>
      <w:r w:rsidR="006B7CA7">
        <w:rPr>
          <w:rFonts w:ascii="Arial" w:hAnsi="Arial" w:cs="Arial"/>
          <w:b/>
          <w:sz w:val="18"/>
          <w:szCs w:val="18"/>
        </w:rPr>
        <w:t>es</w:t>
      </w:r>
      <w:r w:rsidR="00813898" w:rsidRPr="006D38E7">
        <w:rPr>
          <w:rFonts w:ascii="Arial" w:hAnsi="Arial" w:cs="Arial"/>
          <w:sz w:val="18"/>
          <w:szCs w:val="18"/>
        </w:rPr>
        <w:t xml:space="preserve"> </w:t>
      </w:r>
    </w:p>
    <w:tbl>
      <w:tblPr>
        <w:tblStyle w:val="Tablaconcuadrcula"/>
        <w:tblW w:w="0" w:type="auto"/>
        <w:tblLook w:val="04A0" w:firstRow="1" w:lastRow="0" w:firstColumn="1" w:lastColumn="0" w:noHBand="0" w:noVBand="1"/>
      </w:tblPr>
      <w:tblGrid>
        <w:gridCol w:w="10201"/>
      </w:tblGrid>
      <w:tr w:rsidR="006A7AAE" w:rsidRPr="005D226A" w:rsidTr="00110643">
        <w:trPr>
          <w:trHeight w:val="518"/>
        </w:trPr>
        <w:tc>
          <w:tcPr>
            <w:tcW w:w="10201" w:type="dxa"/>
          </w:tcPr>
          <w:p w:rsidR="006A7AAE" w:rsidRPr="006D38E7" w:rsidRDefault="006A7AAE" w:rsidP="006D38E7">
            <w:pPr>
              <w:spacing w:after="120"/>
              <w:jc w:val="both"/>
              <w:rPr>
                <w:rFonts w:ascii="Times New Roman" w:hAnsi="Times New Roman" w:cs="Times New Roman"/>
                <w:b/>
                <w:sz w:val="20"/>
                <w:szCs w:val="20"/>
              </w:rPr>
            </w:pPr>
            <w:r w:rsidRPr="006D38E7">
              <w:rPr>
                <w:rFonts w:ascii="Times New Roman" w:hAnsi="Times New Roman" w:cs="Times New Roman"/>
                <w:b/>
                <w:sz w:val="20"/>
                <w:szCs w:val="20"/>
              </w:rPr>
              <w:t xml:space="preserve">Resultado </w:t>
            </w:r>
            <w:r w:rsidR="0010319D" w:rsidRPr="006D38E7">
              <w:rPr>
                <w:rFonts w:ascii="Times New Roman" w:hAnsi="Times New Roman" w:cs="Times New Roman"/>
                <w:b/>
                <w:sz w:val="20"/>
                <w:szCs w:val="20"/>
              </w:rPr>
              <w:t>Ecuación 1</w:t>
            </w:r>
            <w:r w:rsidR="00E81962" w:rsidRPr="006D38E7">
              <w:rPr>
                <w:rFonts w:ascii="Times New Roman" w:hAnsi="Times New Roman" w:cs="Times New Roman"/>
                <w:b/>
                <w:sz w:val="20"/>
                <w:szCs w:val="20"/>
              </w:rPr>
              <w:t>.</w:t>
            </w:r>
            <w:r w:rsidRPr="006D38E7">
              <w:rPr>
                <w:rFonts w:ascii="Times New Roman" w:hAnsi="Times New Roman" w:cs="Times New Roman"/>
                <w:b/>
                <w:sz w:val="20"/>
                <w:szCs w:val="20"/>
              </w:rPr>
              <w:t xml:space="preserve"> </w:t>
            </w:r>
            <w:r w:rsidR="00096FA8" w:rsidRPr="006D38E7">
              <w:rPr>
                <w:rFonts w:ascii="Times New Roman" w:hAnsi="Times New Roman" w:cs="Times New Roman"/>
                <w:sz w:val="20"/>
                <w:szCs w:val="20"/>
              </w:rPr>
              <w:t>El</w:t>
            </w:r>
            <w:r w:rsidR="00096FA8" w:rsidRPr="006D38E7">
              <w:rPr>
                <w:rFonts w:ascii="Times New Roman" w:hAnsi="Times New Roman" w:cs="Times New Roman"/>
                <w:b/>
                <w:sz w:val="20"/>
                <w:szCs w:val="20"/>
              </w:rPr>
              <w:t xml:space="preserve"> </w:t>
            </w:r>
            <w:proofErr w:type="spellStart"/>
            <w:r w:rsidR="00E81962" w:rsidRPr="006D38E7">
              <w:rPr>
                <w:rFonts w:ascii="Times New Roman" w:hAnsi="Times New Roman" w:cs="Times New Roman"/>
                <w:sz w:val="20"/>
                <w:szCs w:val="20"/>
              </w:rPr>
              <w:t>IpM</w:t>
            </w:r>
            <w:proofErr w:type="spellEnd"/>
            <w:r w:rsidR="00E81962" w:rsidRPr="006D38E7">
              <w:rPr>
                <w:rFonts w:ascii="Times New Roman" w:hAnsi="Times New Roman" w:cs="Times New Roman"/>
                <w:sz w:val="20"/>
                <w:szCs w:val="20"/>
              </w:rPr>
              <w:t xml:space="preserve"> </w:t>
            </w:r>
            <w:r w:rsidRPr="006D38E7">
              <w:rPr>
                <w:rFonts w:ascii="Times New Roman" w:hAnsi="Times New Roman" w:cs="Times New Roman"/>
                <w:sz w:val="20"/>
                <w:szCs w:val="20"/>
              </w:rPr>
              <w:t xml:space="preserve"> baja cuando se reducen las TTM general y del </w:t>
            </w:r>
            <w:r w:rsidR="000C0221" w:rsidRPr="006D38E7">
              <w:rPr>
                <w:rFonts w:ascii="Times New Roman" w:hAnsi="Times New Roman" w:cs="Times New Roman"/>
                <w:sz w:val="20"/>
                <w:szCs w:val="20"/>
              </w:rPr>
              <w:t>preponderante</w:t>
            </w:r>
            <w:r w:rsidRPr="006D38E7">
              <w:rPr>
                <w:rFonts w:ascii="Times New Roman" w:hAnsi="Times New Roman" w:cs="Times New Roman"/>
                <w:sz w:val="20"/>
                <w:szCs w:val="20"/>
              </w:rPr>
              <w:t>,</w:t>
            </w:r>
            <w:r w:rsidR="00E81962" w:rsidRPr="006D38E7">
              <w:rPr>
                <w:rFonts w:ascii="Times New Roman" w:hAnsi="Times New Roman" w:cs="Times New Roman"/>
                <w:sz w:val="20"/>
                <w:szCs w:val="20"/>
              </w:rPr>
              <w:t xml:space="preserve"> y la asimetría en las TTM</w:t>
            </w:r>
            <w:r w:rsidRPr="006D38E7">
              <w:rPr>
                <w:rFonts w:ascii="Times New Roman" w:hAnsi="Times New Roman" w:cs="Times New Roman"/>
                <w:sz w:val="20"/>
                <w:szCs w:val="20"/>
              </w:rPr>
              <w:t xml:space="preserve"> aumenta la respuesta en este indicador.</w:t>
            </w:r>
          </w:p>
        </w:tc>
      </w:tr>
    </w:tbl>
    <w:p w:rsidR="006D38E7" w:rsidRDefault="006D38E7" w:rsidP="00B71AE9">
      <w:pPr>
        <w:spacing w:after="120" w:line="240" w:lineRule="auto"/>
        <w:jc w:val="both"/>
        <w:rPr>
          <w:rFonts w:ascii="Times New Roman" w:hAnsi="Times New Roman" w:cs="Times New Roman"/>
          <w:sz w:val="24"/>
          <w:szCs w:val="24"/>
        </w:rPr>
      </w:pPr>
    </w:p>
    <w:p w:rsidR="00710BD1" w:rsidRPr="006D38E7" w:rsidRDefault="00973807" w:rsidP="00B71AE9">
      <w:pPr>
        <w:spacing w:after="120" w:line="240" w:lineRule="auto"/>
        <w:jc w:val="both"/>
        <w:rPr>
          <w:rFonts w:ascii="Times New Roman" w:hAnsi="Times New Roman" w:cs="Times New Roman"/>
          <w:sz w:val="20"/>
          <w:szCs w:val="20"/>
        </w:rPr>
      </w:pPr>
      <w:r w:rsidRPr="006D38E7">
        <w:rPr>
          <w:rFonts w:ascii="Times New Roman" w:hAnsi="Times New Roman" w:cs="Times New Roman"/>
          <w:sz w:val="20"/>
          <w:szCs w:val="20"/>
        </w:rPr>
        <w:t>De acuerdo a la teoría del consumidor, el bienestar que recibe un individuo al consumir un bien puede separarse en dos partes</w:t>
      </w:r>
      <w:r w:rsidR="00710BD1" w:rsidRPr="006D38E7">
        <w:rPr>
          <w:rFonts w:ascii="Times New Roman" w:hAnsi="Times New Roman" w:cs="Times New Roman"/>
          <w:sz w:val="20"/>
          <w:szCs w:val="20"/>
        </w:rPr>
        <w:t>: la u</w:t>
      </w:r>
      <w:r w:rsidR="00183A96" w:rsidRPr="006D38E7">
        <w:rPr>
          <w:rFonts w:ascii="Times New Roman" w:hAnsi="Times New Roman" w:cs="Times New Roman"/>
          <w:sz w:val="20"/>
          <w:szCs w:val="20"/>
        </w:rPr>
        <w:t>tilidad que recibe del consumo,</w:t>
      </w:r>
      <w:r w:rsidR="00710BD1" w:rsidRPr="006D38E7">
        <w:rPr>
          <w:rFonts w:ascii="Times New Roman" w:hAnsi="Times New Roman" w:cs="Times New Roman"/>
          <w:sz w:val="20"/>
          <w:szCs w:val="20"/>
        </w:rPr>
        <w:t xml:space="preserve"> </w:t>
      </w:r>
      <w:r w:rsidR="00E81962" w:rsidRPr="006D38E7">
        <w:rPr>
          <w:rFonts w:ascii="Times New Roman" w:hAnsi="Times New Roman" w:cs="Times New Roman"/>
          <w:sz w:val="20"/>
          <w:szCs w:val="20"/>
        </w:rPr>
        <w:t xml:space="preserve">y </w:t>
      </w:r>
      <w:r w:rsidR="00710BD1" w:rsidRPr="006D38E7">
        <w:rPr>
          <w:rFonts w:ascii="Times New Roman" w:hAnsi="Times New Roman" w:cs="Times New Roman"/>
          <w:sz w:val="20"/>
          <w:szCs w:val="20"/>
        </w:rPr>
        <w:t>que es igual a la cantidad desembolsada por el mismo; y el excedente del consumidor, que</w:t>
      </w:r>
      <w:r w:rsidR="00A319E3" w:rsidRPr="006D38E7">
        <w:rPr>
          <w:rFonts w:ascii="Times New Roman" w:hAnsi="Times New Roman" w:cs="Times New Roman"/>
          <w:sz w:val="20"/>
          <w:szCs w:val="20"/>
        </w:rPr>
        <w:t xml:space="preserve"> corresponde a la satisfacción </w:t>
      </w:r>
      <w:r w:rsidR="00710BD1" w:rsidRPr="006D38E7">
        <w:rPr>
          <w:rFonts w:ascii="Times New Roman" w:hAnsi="Times New Roman" w:cs="Times New Roman"/>
          <w:sz w:val="20"/>
          <w:szCs w:val="20"/>
        </w:rPr>
        <w:t>que recibe la persona</w:t>
      </w:r>
      <w:r w:rsidRPr="006D38E7">
        <w:rPr>
          <w:rFonts w:ascii="Times New Roman" w:hAnsi="Times New Roman" w:cs="Times New Roman"/>
          <w:sz w:val="20"/>
          <w:szCs w:val="20"/>
        </w:rPr>
        <w:t xml:space="preserve"> por el consumo </w:t>
      </w:r>
      <w:r w:rsidR="00710BD1" w:rsidRPr="006D38E7">
        <w:rPr>
          <w:rFonts w:ascii="Times New Roman" w:hAnsi="Times New Roman" w:cs="Times New Roman"/>
          <w:sz w:val="20"/>
          <w:szCs w:val="20"/>
        </w:rPr>
        <w:t>y por el que no realiza un desembolso</w:t>
      </w:r>
      <w:r w:rsidR="00DD7A6B" w:rsidRPr="006D38E7">
        <w:rPr>
          <w:rFonts w:ascii="Times New Roman" w:hAnsi="Times New Roman" w:cs="Times New Roman"/>
          <w:sz w:val="20"/>
          <w:szCs w:val="20"/>
        </w:rPr>
        <w:t xml:space="preserve"> (área del triángulo </w:t>
      </w:r>
      <w:proofErr w:type="spellStart"/>
      <w:r w:rsidR="00DD7A6B" w:rsidRPr="006D38E7">
        <w:rPr>
          <w:rFonts w:ascii="Times New Roman" w:hAnsi="Times New Roman" w:cs="Times New Roman"/>
          <w:sz w:val="20"/>
          <w:szCs w:val="20"/>
        </w:rPr>
        <w:t>APoB</w:t>
      </w:r>
      <w:proofErr w:type="spellEnd"/>
      <w:r w:rsidR="00492B60">
        <w:rPr>
          <w:rFonts w:ascii="Times New Roman" w:hAnsi="Times New Roman" w:cs="Times New Roman"/>
          <w:sz w:val="20"/>
          <w:szCs w:val="20"/>
        </w:rPr>
        <w:t xml:space="preserve"> en la gráfica 7</w:t>
      </w:r>
      <w:r w:rsidR="00DD7A6B" w:rsidRPr="006D38E7">
        <w:rPr>
          <w:rFonts w:ascii="Times New Roman" w:hAnsi="Times New Roman" w:cs="Times New Roman"/>
          <w:sz w:val="20"/>
          <w:szCs w:val="20"/>
        </w:rPr>
        <w:t>)</w:t>
      </w:r>
      <w:r w:rsidR="00710BD1" w:rsidRPr="006D38E7">
        <w:rPr>
          <w:rFonts w:ascii="Times New Roman" w:hAnsi="Times New Roman" w:cs="Times New Roman"/>
          <w:sz w:val="20"/>
          <w:szCs w:val="20"/>
        </w:rPr>
        <w:t>. El excedente del</w:t>
      </w:r>
      <w:r w:rsidR="00023D62" w:rsidRPr="006D38E7">
        <w:rPr>
          <w:rFonts w:ascii="Times New Roman" w:hAnsi="Times New Roman" w:cs="Times New Roman"/>
          <w:sz w:val="20"/>
          <w:szCs w:val="20"/>
        </w:rPr>
        <w:t xml:space="preserve"> consumidor existe sólo cuando </w:t>
      </w:r>
      <w:r w:rsidR="00710BD1" w:rsidRPr="006D38E7">
        <w:rPr>
          <w:rFonts w:ascii="Times New Roman" w:hAnsi="Times New Roman" w:cs="Times New Roman"/>
          <w:sz w:val="20"/>
          <w:szCs w:val="20"/>
        </w:rPr>
        <w:t xml:space="preserve">la satisfacción del consumo supera el monto pagado por el producto o servicio. </w:t>
      </w:r>
    </w:p>
    <w:p w:rsidR="006315D0" w:rsidRPr="006D38E7" w:rsidRDefault="00710BD1" w:rsidP="00B71AE9">
      <w:pPr>
        <w:spacing w:after="120" w:line="240" w:lineRule="auto"/>
        <w:jc w:val="both"/>
        <w:rPr>
          <w:rFonts w:ascii="Times New Roman" w:hAnsi="Times New Roman" w:cs="Times New Roman"/>
          <w:sz w:val="20"/>
          <w:szCs w:val="20"/>
        </w:rPr>
      </w:pPr>
      <w:r w:rsidRPr="006D38E7">
        <w:rPr>
          <w:rFonts w:ascii="Times New Roman" w:hAnsi="Times New Roman" w:cs="Times New Roman"/>
          <w:sz w:val="20"/>
          <w:szCs w:val="20"/>
        </w:rPr>
        <w:t>En ausencia de cifras para medir el excedente del consumidor, u</w:t>
      </w:r>
      <w:r w:rsidR="00315674" w:rsidRPr="006D38E7">
        <w:rPr>
          <w:rFonts w:ascii="Times New Roman" w:hAnsi="Times New Roman" w:cs="Times New Roman"/>
          <w:sz w:val="20"/>
          <w:szCs w:val="20"/>
        </w:rPr>
        <w:t>na manera</w:t>
      </w:r>
      <w:r w:rsidR="00023D62" w:rsidRPr="006D38E7">
        <w:rPr>
          <w:rFonts w:ascii="Times New Roman" w:hAnsi="Times New Roman" w:cs="Times New Roman"/>
          <w:sz w:val="20"/>
          <w:szCs w:val="20"/>
        </w:rPr>
        <w:t xml:space="preserve"> indirecta de estimar</w:t>
      </w:r>
      <w:r w:rsidR="00754F18" w:rsidRPr="006D38E7">
        <w:rPr>
          <w:rFonts w:ascii="Times New Roman" w:hAnsi="Times New Roman" w:cs="Times New Roman"/>
          <w:sz w:val="20"/>
          <w:szCs w:val="20"/>
        </w:rPr>
        <w:t xml:space="preserve"> el bienestar </w:t>
      </w:r>
      <w:r w:rsidR="00315674" w:rsidRPr="006D38E7">
        <w:rPr>
          <w:rFonts w:ascii="Times New Roman" w:hAnsi="Times New Roman" w:cs="Times New Roman"/>
          <w:sz w:val="20"/>
          <w:szCs w:val="20"/>
        </w:rPr>
        <w:t>del consumidor</w:t>
      </w:r>
      <w:r w:rsidRPr="006D38E7">
        <w:rPr>
          <w:rFonts w:ascii="Times New Roman" w:hAnsi="Times New Roman" w:cs="Times New Roman"/>
          <w:sz w:val="20"/>
          <w:szCs w:val="20"/>
        </w:rPr>
        <w:t xml:space="preserve"> como resultado de una política regulatoria</w:t>
      </w:r>
      <w:r w:rsidR="00315674" w:rsidRPr="006D38E7">
        <w:rPr>
          <w:rFonts w:ascii="Times New Roman" w:hAnsi="Times New Roman" w:cs="Times New Roman"/>
          <w:sz w:val="20"/>
          <w:szCs w:val="20"/>
        </w:rPr>
        <w:t>, es a</w:t>
      </w:r>
      <w:r w:rsidR="00754F18" w:rsidRPr="006D38E7">
        <w:rPr>
          <w:rFonts w:ascii="Times New Roman" w:hAnsi="Times New Roman" w:cs="Times New Roman"/>
          <w:sz w:val="20"/>
          <w:szCs w:val="20"/>
        </w:rPr>
        <w:t xml:space="preserve"> </w:t>
      </w:r>
      <w:r w:rsidR="0010319D" w:rsidRPr="006D38E7">
        <w:rPr>
          <w:rFonts w:ascii="Times New Roman" w:hAnsi="Times New Roman" w:cs="Times New Roman"/>
          <w:sz w:val="20"/>
          <w:szCs w:val="20"/>
        </w:rPr>
        <w:t>través de la utilidad que</w:t>
      </w:r>
      <w:r w:rsidR="00973807" w:rsidRPr="006D38E7">
        <w:rPr>
          <w:rFonts w:ascii="Times New Roman" w:hAnsi="Times New Roman" w:cs="Times New Roman"/>
          <w:sz w:val="20"/>
          <w:szCs w:val="20"/>
        </w:rPr>
        <w:t xml:space="preserve"> </w:t>
      </w:r>
      <w:r w:rsidR="0010319D" w:rsidRPr="006D38E7">
        <w:rPr>
          <w:rFonts w:ascii="Times New Roman" w:hAnsi="Times New Roman" w:cs="Times New Roman"/>
          <w:sz w:val="20"/>
          <w:szCs w:val="20"/>
        </w:rPr>
        <w:t>recibe e</w:t>
      </w:r>
      <w:r w:rsidR="00315674" w:rsidRPr="006D38E7">
        <w:rPr>
          <w:rFonts w:ascii="Times New Roman" w:hAnsi="Times New Roman" w:cs="Times New Roman"/>
          <w:sz w:val="20"/>
          <w:szCs w:val="20"/>
        </w:rPr>
        <w:t xml:space="preserve">l consumir </w:t>
      </w:r>
      <w:r w:rsidR="00754F18" w:rsidRPr="006D38E7">
        <w:rPr>
          <w:rFonts w:ascii="Times New Roman" w:hAnsi="Times New Roman" w:cs="Times New Roman"/>
          <w:sz w:val="20"/>
          <w:szCs w:val="20"/>
        </w:rPr>
        <w:t xml:space="preserve">por </w:t>
      </w:r>
      <w:r w:rsidR="00413C02" w:rsidRPr="006D38E7">
        <w:rPr>
          <w:rFonts w:ascii="Times New Roman" w:hAnsi="Times New Roman" w:cs="Times New Roman"/>
          <w:sz w:val="20"/>
          <w:szCs w:val="20"/>
        </w:rPr>
        <w:t xml:space="preserve">el servicio y por el cual </w:t>
      </w:r>
      <w:r w:rsidR="002F7299" w:rsidRPr="006D38E7">
        <w:rPr>
          <w:rFonts w:ascii="Times New Roman" w:hAnsi="Times New Roman" w:cs="Times New Roman"/>
          <w:sz w:val="20"/>
          <w:szCs w:val="20"/>
        </w:rPr>
        <w:t>se pagó</w:t>
      </w:r>
      <w:r w:rsidR="00315674" w:rsidRPr="006D38E7">
        <w:rPr>
          <w:rFonts w:ascii="Times New Roman" w:hAnsi="Times New Roman" w:cs="Times New Roman"/>
          <w:sz w:val="20"/>
          <w:szCs w:val="20"/>
        </w:rPr>
        <w:t xml:space="preserve"> un monto</w:t>
      </w:r>
      <w:r w:rsidR="00413C02" w:rsidRPr="006D38E7">
        <w:rPr>
          <w:rFonts w:ascii="Times New Roman" w:hAnsi="Times New Roman" w:cs="Times New Roman"/>
          <w:sz w:val="20"/>
          <w:szCs w:val="20"/>
        </w:rPr>
        <w:t>.</w:t>
      </w:r>
      <w:r w:rsidR="00413C02" w:rsidRPr="006D38E7">
        <w:rPr>
          <w:rStyle w:val="Refdenotaalpie"/>
          <w:rFonts w:ascii="Times New Roman" w:hAnsi="Times New Roman" w:cs="Times New Roman"/>
          <w:sz w:val="20"/>
          <w:szCs w:val="20"/>
        </w:rPr>
        <w:footnoteReference w:id="22"/>
      </w:r>
      <w:r w:rsidR="00754F18" w:rsidRPr="006D38E7">
        <w:rPr>
          <w:rFonts w:ascii="Times New Roman" w:hAnsi="Times New Roman" w:cs="Times New Roman"/>
          <w:sz w:val="20"/>
          <w:szCs w:val="20"/>
        </w:rPr>
        <w:t xml:space="preserve"> </w:t>
      </w:r>
      <w:r w:rsidR="00813898" w:rsidRPr="006D38E7">
        <w:rPr>
          <w:rFonts w:ascii="Times New Roman" w:hAnsi="Times New Roman" w:cs="Times New Roman"/>
          <w:sz w:val="20"/>
          <w:szCs w:val="20"/>
        </w:rPr>
        <w:t>El servi</w:t>
      </w:r>
      <w:r w:rsidR="00E83967" w:rsidRPr="006D38E7">
        <w:rPr>
          <w:rFonts w:ascii="Times New Roman" w:hAnsi="Times New Roman" w:cs="Times New Roman"/>
          <w:sz w:val="20"/>
          <w:szCs w:val="20"/>
        </w:rPr>
        <w:t xml:space="preserve">cio celular es </w:t>
      </w:r>
      <w:r w:rsidR="003B4E65" w:rsidRPr="006D38E7">
        <w:rPr>
          <w:rFonts w:ascii="Times New Roman" w:hAnsi="Times New Roman" w:cs="Times New Roman"/>
          <w:sz w:val="20"/>
          <w:szCs w:val="20"/>
        </w:rPr>
        <w:t>un “bien” en sentido económico</w:t>
      </w:r>
      <w:r w:rsidR="00E83967" w:rsidRPr="006D38E7">
        <w:rPr>
          <w:rFonts w:ascii="Times New Roman" w:hAnsi="Times New Roman" w:cs="Times New Roman"/>
          <w:sz w:val="20"/>
          <w:szCs w:val="20"/>
        </w:rPr>
        <w:t>, esto es, su utilización genera un bienestar a la persona y por ende, esta está dispuesta a pagar un precio por consumirlo</w:t>
      </w:r>
      <w:r w:rsidR="00813898" w:rsidRPr="006D38E7">
        <w:rPr>
          <w:rFonts w:ascii="Times New Roman" w:hAnsi="Times New Roman" w:cs="Times New Roman"/>
          <w:sz w:val="20"/>
          <w:szCs w:val="20"/>
        </w:rPr>
        <w:t>.</w:t>
      </w:r>
      <w:r w:rsidR="003B4E65" w:rsidRPr="006D38E7">
        <w:rPr>
          <w:rFonts w:ascii="Times New Roman" w:hAnsi="Times New Roman" w:cs="Times New Roman"/>
          <w:sz w:val="20"/>
          <w:szCs w:val="20"/>
        </w:rPr>
        <w:t xml:space="preserve"> Así</w:t>
      </w:r>
      <w:r w:rsidR="00813898" w:rsidRPr="006D38E7">
        <w:rPr>
          <w:rFonts w:ascii="Times New Roman" w:hAnsi="Times New Roman" w:cs="Times New Roman"/>
          <w:sz w:val="20"/>
          <w:szCs w:val="20"/>
        </w:rPr>
        <w:t xml:space="preserve">, en la medida que se incremente el consumo del servicio se eleva el bienestar de los consumidores. </w:t>
      </w:r>
    </w:p>
    <w:p w:rsidR="00DB522C" w:rsidRPr="006D38E7" w:rsidRDefault="00110643" w:rsidP="00B71AE9">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D</w:t>
      </w:r>
      <w:r w:rsidR="007B268A" w:rsidRPr="006D38E7">
        <w:rPr>
          <w:rFonts w:ascii="Times New Roman" w:hAnsi="Times New Roman" w:cs="Times New Roman"/>
          <w:sz w:val="20"/>
          <w:szCs w:val="20"/>
        </w:rPr>
        <w:t>e acuerdo a la ley de oferta y demanda</w:t>
      </w:r>
      <w:r>
        <w:rPr>
          <w:rFonts w:ascii="Times New Roman" w:hAnsi="Times New Roman" w:cs="Times New Roman"/>
          <w:sz w:val="20"/>
          <w:szCs w:val="20"/>
        </w:rPr>
        <w:t xml:space="preserve">, cuando el precio de un servicio se reduce, </w:t>
      </w:r>
      <w:r w:rsidR="007B268A" w:rsidRPr="006D38E7">
        <w:rPr>
          <w:rFonts w:ascii="Times New Roman" w:hAnsi="Times New Roman" w:cs="Times New Roman"/>
          <w:sz w:val="20"/>
          <w:szCs w:val="20"/>
        </w:rPr>
        <w:t xml:space="preserve"> los consumidores estarán dispuestos a adquirir una mayor cantidad </w:t>
      </w:r>
      <w:r w:rsidR="00DD7A6B" w:rsidRPr="006D38E7">
        <w:rPr>
          <w:rFonts w:ascii="Times New Roman" w:hAnsi="Times New Roman" w:cs="Times New Roman"/>
          <w:sz w:val="20"/>
          <w:szCs w:val="20"/>
        </w:rPr>
        <w:t>(</w:t>
      </w:r>
      <w:r w:rsidR="00492B60">
        <w:rPr>
          <w:rFonts w:ascii="Times New Roman" w:hAnsi="Times New Roman" w:cs="Times New Roman"/>
          <w:sz w:val="20"/>
          <w:szCs w:val="20"/>
        </w:rPr>
        <w:t>en la gráfica 7</w:t>
      </w:r>
      <w:r w:rsidR="00023D62" w:rsidRPr="006D38E7">
        <w:rPr>
          <w:rFonts w:ascii="Times New Roman" w:hAnsi="Times New Roman" w:cs="Times New Roman"/>
          <w:sz w:val="20"/>
          <w:szCs w:val="20"/>
        </w:rPr>
        <w:t xml:space="preserve">, </w:t>
      </w:r>
      <w:r w:rsidR="00DD7A6B" w:rsidRPr="006D38E7">
        <w:rPr>
          <w:rFonts w:ascii="Times New Roman" w:hAnsi="Times New Roman" w:cs="Times New Roman"/>
          <w:sz w:val="20"/>
          <w:szCs w:val="20"/>
        </w:rPr>
        <w:t>el equilibrio pasa del punto B al C con un menor precio, ya que Po&gt;P1)</w:t>
      </w:r>
      <w:r w:rsidR="0026357F">
        <w:rPr>
          <w:rFonts w:ascii="Times New Roman" w:hAnsi="Times New Roman" w:cs="Times New Roman"/>
          <w:sz w:val="20"/>
          <w:szCs w:val="20"/>
        </w:rPr>
        <w:t xml:space="preserve">. Más aun, de acuerdo al planteamiento de </w:t>
      </w:r>
      <w:proofErr w:type="spellStart"/>
      <w:r w:rsidR="0026357F">
        <w:rPr>
          <w:rFonts w:ascii="Times New Roman" w:hAnsi="Times New Roman" w:cs="Times New Roman"/>
          <w:sz w:val="20"/>
          <w:szCs w:val="20"/>
        </w:rPr>
        <w:t>Baranes</w:t>
      </w:r>
      <w:proofErr w:type="spellEnd"/>
      <w:r w:rsidR="0026357F">
        <w:rPr>
          <w:rFonts w:ascii="Times New Roman" w:hAnsi="Times New Roman" w:cs="Times New Roman"/>
          <w:sz w:val="20"/>
          <w:szCs w:val="20"/>
        </w:rPr>
        <w:t xml:space="preserve"> (2011 b)</w:t>
      </w:r>
      <w:r w:rsidR="007B268A" w:rsidRPr="006D38E7">
        <w:rPr>
          <w:rFonts w:ascii="Times New Roman" w:hAnsi="Times New Roman" w:cs="Times New Roman"/>
          <w:sz w:val="20"/>
          <w:szCs w:val="20"/>
        </w:rPr>
        <w:t xml:space="preserve">, </w:t>
      </w:r>
      <w:r w:rsidR="003B4E65" w:rsidRPr="006D38E7">
        <w:rPr>
          <w:rFonts w:ascii="Times New Roman" w:hAnsi="Times New Roman" w:cs="Times New Roman"/>
          <w:sz w:val="20"/>
          <w:szCs w:val="20"/>
        </w:rPr>
        <w:t xml:space="preserve">se debe esperar que la </w:t>
      </w:r>
      <w:r w:rsidR="007B268A" w:rsidRPr="006D38E7">
        <w:rPr>
          <w:rFonts w:ascii="Times New Roman" w:hAnsi="Times New Roman" w:cs="Times New Roman"/>
          <w:sz w:val="20"/>
          <w:szCs w:val="20"/>
        </w:rPr>
        <w:t>cantidad adquirida del servicio</w:t>
      </w:r>
      <w:r w:rsidR="003B4E65" w:rsidRPr="006D38E7">
        <w:rPr>
          <w:rFonts w:ascii="Times New Roman" w:hAnsi="Times New Roman" w:cs="Times New Roman"/>
          <w:sz w:val="20"/>
          <w:szCs w:val="20"/>
        </w:rPr>
        <w:t xml:space="preserve"> aumente</w:t>
      </w:r>
      <w:r w:rsidR="007B268A" w:rsidRPr="006D38E7">
        <w:rPr>
          <w:rFonts w:ascii="Times New Roman" w:hAnsi="Times New Roman" w:cs="Times New Roman"/>
          <w:sz w:val="20"/>
          <w:szCs w:val="20"/>
        </w:rPr>
        <w:t xml:space="preserve">, particularmente tratándose de los </w:t>
      </w:r>
      <w:r w:rsidR="002F7299" w:rsidRPr="006D38E7">
        <w:rPr>
          <w:rFonts w:ascii="Times New Roman" w:hAnsi="Times New Roman" w:cs="Times New Roman"/>
          <w:sz w:val="20"/>
          <w:szCs w:val="20"/>
        </w:rPr>
        <w:t xml:space="preserve">servicios vendidos por los </w:t>
      </w:r>
      <w:r w:rsidR="007B268A" w:rsidRPr="006D38E7">
        <w:rPr>
          <w:rFonts w:ascii="Times New Roman" w:hAnsi="Times New Roman" w:cs="Times New Roman"/>
          <w:sz w:val="20"/>
          <w:szCs w:val="20"/>
        </w:rPr>
        <w:t>operadores</w:t>
      </w:r>
      <w:r w:rsidR="002F7299" w:rsidRPr="006D38E7">
        <w:rPr>
          <w:rFonts w:ascii="Times New Roman" w:hAnsi="Times New Roman" w:cs="Times New Roman"/>
          <w:sz w:val="20"/>
          <w:szCs w:val="20"/>
        </w:rPr>
        <w:t xml:space="preserve"> entrantes</w:t>
      </w:r>
      <w:r w:rsidR="007B268A" w:rsidRPr="006D38E7">
        <w:rPr>
          <w:rFonts w:ascii="Times New Roman" w:hAnsi="Times New Roman" w:cs="Times New Roman"/>
          <w:sz w:val="20"/>
          <w:szCs w:val="20"/>
        </w:rPr>
        <w:t xml:space="preserve">. Lo anterior, debido a que estos últimos tendrán mayor incentivo a reducir el precio, ya que podrán compensar la pérdida de esos ingresos, cobrando al </w:t>
      </w:r>
      <w:r w:rsidR="000C0221" w:rsidRPr="006D38E7">
        <w:rPr>
          <w:rFonts w:ascii="Times New Roman" w:hAnsi="Times New Roman" w:cs="Times New Roman"/>
          <w:sz w:val="20"/>
          <w:szCs w:val="20"/>
        </w:rPr>
        <w:t>preponderante</w:t>
      </w:r>
      <w:r w:rsidR="007B268A" w:rsidRPr="006D38E7">
        <w:rPr>
          <w:rFonts w:ascii="Times New Roman" w:hAnsi="Times New Roman" w:cs="Times New Roman"/>
          <w:sz w:val="20"/>
          <w:szCs w:val="20"/>
        </w:rPr>
        <w:t xml:space="preserve"> una TTM relativamente mayor que sus propios costos. Así también, sus costos </w:t>
      </w:r>
      <w:r w:rsidR="001B6C8E" w:rsidRPr="006D38E7">
        <w:rPr>
          <w:rFonts w:ascii="Times New Roman" w:hAnsi="Times New Roman" w:cs="Times New Roman"/>
          <w:sz w:val="20"/>
          <w:szCs w:val="20"/>
        </w:rPr>
        <w:t xml:space="preserve">de terminación de llamadas </w:t>
      </w:r>
      <w:r w:rsidR="007B268A" w:rsidRPr="006D38E7">
        <w:rPr>
          <w:rFonts w:ascii="Times New Roman" w:hAnsi="Times New Roman" w:cs="Times New Roman"/>
          <w:sz w:val="20"/>
          <w:szCs w:val="20"/>
        </w:rPr>
        <w:t xml:space="preserve">se ven reducidos al bajar la TTM del operador </w:t>
      </w:r>
      <w:r w:rsidR="000C0221" w:rsidRPr="006D38E7">
        <w:rPr>
          <w:rFonts w:ascii="Times New Roman" w:hAnsi="Times New Roman" w:cs="Times New Roman"/>
          <w:sz w:val="20"/>
          <w:szCs w:val="20"/>
        </w:rPr>
        <w:t>preponderante</w:t>
      </w:r>
      <w:r w:rsidR="007B268A" w:rsidRPr="006D38E7">
        <w:rPr>
          <w:rFonts w:ascii="Times New Roman" w:hAnsi="Times New Roman" w:cs="Times New Roman"/>
          <w:sz w:val="20"/>
          <w:szCs w:val="20"/>
        </w:rPr>
        <w:t xml:space="preserve">. </w:t>
      </w:r>
    </w:p>
    <w:p w:rsidR="00940009" w:rsidRDefault="006315D0" w:rsidP="00940009">
      <w:pPr>
        <w:spacing w:after="120" w:line="240" w:lineRule="auto"/>
        <w:jc w:val="both"/>
        <w:rPr>
          <w:rFonts w:ascii="Times New Roman" w:hAnsi="Times New Roman" w:cs="Times New Roman"/>
          <w:sz w:val="20"/>
          <w:szCs w:val="20"/>
        </w:rPr>
      </w:pPr>
      <w:r w:rsidRPr="006D38E7">
        <w:rPr>
          <w:rFonts w:ascii="Times New Roman" w:hAnsi="Times New Roman" w:cs="Times New Roman"/>
          <w:sz w:val="20"/>
          <w:szCs w:val="20"/>
        </w:rPr>
        <w:t>Como se señaló,</w:t>
      </w:r>
      <w:r w:rsidR="008B3B66" w:rsidRPr="006D38E7">
        <w:rPr>
          <w:rFonts w:ascii="Times New Roman" w:hAnsi="Times New Roman" w:cs="Times New Roman"/>
          <w:sz w:val="20"/>
          <w:szCs w:val="20"/>
        </w:rPr>
        <w:t xml:space="preserve"> el primer año de implementación de </w:t>
      </w:r>
      <w:r w:rsidR="006A7AAE" w:rsidRPr="006D38E7">
        <w:rPr>
          <w:rFonts w:ascii="Times New Roman" w:hAnsi="Times New Roman" w:cs="Times New Roman"/>
          <w:sz w:val="20"/>
          <w:szCs w:val="20"/>
        </w:rPr>
        <w:t xml:space="preserve">las </w:t>
      </w:r>
      <w:r w:rsidR="008B3B66" w:rsidRPr="006D38E7">
        <w:rPr>
          <w:rFonts w:ascii="Times New Roman" w:hAnsi="Times New Roman" w:cs="Times New Roman"/>
          <w:sz w:val="20"/>
          <w:szCs w:val="20"/>
        </w:rPr>
        <w:t>TTM asimétricas</w:t>
      </w:r>
      <w:r w:rsidR="00C763A1" w:rsidRPr="006D38E7">
        <w:rPr>
          <w:rFonts w:ascii="Times New Roman" w:hAnsi="Times New Roman" w:cs="Times New Roman"/>
          <w:sz w:val="20"/>
          <w:szCs w:val="20"/>
        </w:rPr>
        <w:t xml:space="preserve"> se aprecia una reducción del </w:t>
      </w:r>
      <w:proofErr w:type="spellStart"/>
      <w:r w:rsidR="00C763A1" w:rsidRPr="006D38E7">
        <w:rPr>
          <w:rFonts w:ascii="Times New Roman" w:hAnsi="Times New Roman" w:cs="Times New Roman"/>
          <w:sz w:val="20"/>
          <w:szCs w:val="20"/>
        </w:rPr>
        <w:t>Ip</w:t>
      </w:r>
      <w:r w:rsidR="008B3B66" w:rsidRPr="006D38E7">
        <w:rPr>
          <w:rFonts w:ascii="Times New Roman" w:hAnsi="Times New Roman" w:cs="Times New Roman"/>
          <w:sz w:val="20"/>
          <w:szCs w:val="20"/>
        </w:rPr>
        <w:t>M</w:t>
      </w:r>
      <w:proofErr w:type="spellEnd"/>
      <w:r w:rsidR="008B3B66" w:rsidRPr="006D38E7">
        <w:rPr>
          <w:rFonts w:ascii="Times New Roman" w:hAnsi="Times New Roman" w:cs="Times New Roman"/>
          <w:sz w:val="20"/>
          <w:szCs w:val="20"/>
        </w:rPr>
        <w:t xml:space="preserve"> del orden de </w:t>
      </w:r>
      <w:r w:rsidR="005A3BD1">
        <w:rPr>
          <w:rFonts w:ascii="Times New Roman" w:hAnsi="Times New Roman" w:cs="Times New Roman"/>
          <w:sz w:val="20"/>
          <w:szCs w:val="20"/>
        </w:rPr>
        <w:t>35</w:t>
      </w:r>
      <w:r w:rsidRPr="006D38E7">
        <w:rPr>
          <w:rFonts w:ascii="Times New Roman" w:hAnsi="Times New Roman" w:cs="Times New Roman"/>
          <w:sz w:val="20"/>
          <w:szCs w:val="20"/>
        </w:rPr>
        <w:t>%</w:t>
      </w:r>
      <w:r w:rsidR="008B3B66" w:rsidRPr="006D38E7">
        <w:rPr>
          <w:rFonts w:ascii="Times New Roman" w:hAnsi="Times New Roman" w:cs="Times New Roman"/>
          <w:sz w:val="20"/>
          <w:szCs w:val="20"/>
        </w:rPr>
        <w:t xml:space="preserve">. </w:t>
      </w:r>
      <w:r w:rsidRPr="006D38E7">
        <w:rPr>
          <w:rFonts w:ascii="Times New Roman" w:hAnsi="Times New Roman" w:cs="Times New Roman"/>
          <w:sz w:val="20"/>
          <w:szCs w:val="20"/>
        </w:rPr>
        <w:t>Entre marzo</w:t>
      </w:r>
      <w:r w:rsidR="0049596E" w:rsidRPr="006D38E7">
        <w:rPr>
          <w:rFonts w:ascii="Times New Roman" w:hAnsi="Times New Roman" w:cs="Times New Roman"/>
          <w:sz w:val="20"/>
          <w:szCs w:val="20"/>
        </w:rPr>
        <w:t xml:space="preserve"> 2014</w:t>
      </w:r>
      <w:r w:rsidRPr="006D38E7">
        <w:rPr>
          <w:rFonts w:ascii="Times New Roman" w:hAnsi="Times New Roman" w:cs="Times New Roman"/>
          <w:sz w:val="20"/>
          <w:szCs w:val="20"/>
        </w:rPr>
        <w:t xml:space="preserve"> </w:t>
      </w:r>
      <w:r w:rsidR="00EE3150" w:rsidRPr="006D38E7">
        <w:rPr>
          <w:rFonts w:ascii="Times New Roman" w:hAnsi="Times New Roman" w:cs="Times New Roman"/>
          <w:sz w:val="20"/>
          <w:szCs w:val="20"/>
        </w:rPr>
        <w:t>y diciembre</w:t>
      </w:r>
      <w:r w:rsidR="0049596E" w:rsidRPr="006D38E7">
        <w:rPr>
          <w:rFonts w:ascii="Times New Roman" w:hAnsi="Times New Roman" w:cs="Times New Roman"/>
          <w:sz w:val="20"/>
          <w:szCs w:val="20"/>
        </w:rPr>
        <w:t xml:space="preserve"> 2015</w:t>
      </w:r>
      <w:r w:rsidR="00000966" w:rsidRPr="006D38E7">
        <w:rPr>
          <w:rFonts w:ascii="Times New Roman" w:hAnsi="Times New Roman" w:cs="Times New Roman"/>
          <w:sz w:val="20"/>
          <w:szCs w:val="20"/>
        </w:rPr>
        <w:t>,</w:t>
      </w:r>
      <w:r w:rsidRPr="006D38E7">
        <w:rPr>
          <w:rFonts w:ascii="Times New Roman" w:hAnsi="Times New Roman" w:cs="Times New Roman"/>
          <w:sz w:val="20"/>
          <w:szCs w:val="20"/>
        </w:rPr>
        <w:t xml:space="preserve"> el total de minutos d</w:t>
      </w:r>
      <w:r w:rsidR="00EE3150" w:rsidRPr="006D38E7">
        <w:rPr>
          <w:rFonts w:ascii="Times New Roman" w:hAnsi="Times New Roman" w:cs="Times New Roman"/>
          <w:sz w:val="20"/>
          <w:szCs w:val="20"/>
        </w:rPr>
        <w:t>e</w:t>
      </w:r>
      <w:r w:rsidR="005A3BD1">
        <w:rPr>
          <w:rFonts w:ascii="Times New Roman" w:hAnsi="Times New Roman" w:cs="Times New Roman"/>
          <w:sz w:val="20"/>
          <w:szCs w:val="20"/>
        </w:rPr>
        <w:t xml:space="preserve"> tráfico celular aumentó en 21</w:t>
      </w:r>
      <w:r w:rsidRPr="006D38E7">
        <w:rPr>
          <w:rFonts w:ascii="Times New Roman" w:hAnsi="Times New Roman" w:cs="Times New Roman"/>
          <w:sz w:val="20"/>
          <w:szCs w:val="20"/>
        </w:rPr>
        <w:t>%</w:t>
      </w:r>
      <w:r w:rsidR="00484A37" w:rsidRPr="006D38E7">
        <w:rPr>
          <w:rStyle w:val="Refdenotaalpie"/>
          <w:rFonts w:ascii="Times New Roman" w:hAnsi="Times New Roman" w:cs="Times New Roman"/>
          <w:sz w:val="20"/>
          <w:szCs w:val="20"/>
        </w:rPr>
        <w:footnoteReference w:id="23"/>
      </w:r>
      <w:r w:rsidRPr="006D38E7">
        <w:rPr>
          <w:rFonts w:ascii="Times New Roman" w:hAnsi="Times New Roman" w:cs="Times New Roman"/>
          <w:sz w:val="20"/>
          <w:szCs w:val="20"/>
        </w:rPr>
        <w:t>, al pasar de 35,0</w:t>
      </w:r>
      <w:r w:rsidR="00E81962" w:rsidRPr="006D38E7">
        <w:rPr>
          <w:rFonts w:ascii="Times New Roman" w:hAnsi="Times New Roman" w:cs="Times New Roman"/>
          <w:sz w:val="20"/>
          <w:szCs w:val="20"/>
        </w:rPr>
        <w:t>8</w:t>
      </w:r>
      <w:r w:rsidR="00EE3150" w:rsidRPr="006D38E7">
        <w:rPr>
          <w:rFonts w:ascii="Times New Roman" w:hAnsi="Times New Roman" w:cs="Times New Roman"/>
          <w:sz w:val="20"/>
          <w:szCs w:val="20"/>
        </w:rPr>
        <w:t>3</w:t>
      </w:r>
      <w:r w:rsidR="00E81962" w:rsidRPr="006D38E7">
        <w:rPr>
          <w:rFonts w:ascii="Times New Roman" w:hAnsi="Times New Roman" w:cs="Times New Roman"/>
          <w:sz w:val="20"/>
          <w:szCs w:val="20"/>
        </w:rPr>
        <w:t xml:space="preserve"> millones de minutos a </w:t>
      </w:r>
      <w:r w:rsidR="00EE3150" w:rsidRPr="006D38E7">
        <w:rPr>
          <w:rFonts w:ascii="Times New Roman" w:hAnsi="Times New Roman" w:cs="Times New Roman"/>
          <w:sz w:val="20"/>
          <w:szCs w:val="20"/>
        </w:rPr>
        <w:t>42</w:t>
      </w:r>
      <w:r w:rsidR="00E81962" w:rsidRPr="006D38E7">
        <w:rPr>
          <w:rFonts w:ascii="Times New Roman" w:hAnsi="Times New Roman" w:cs="Times New Roman"/>
          <w:sz w:val="20"/>
          <w:szCs w:val="20"/>
        </w:rPr>
        <w:t>,</w:t>
      </w:r>
      <w:r w:rsidR="00EE3150" w:rsidRPr="006D38E7">
        <w:rPr>
          <w:rFonts w:ascii="Times New Roman" w:hAnsi="Times New Roman" w:cs="Times New Roman"/>
          <w:sz w:val="20"/>
          <w:szCs w:val="20"/>
        </w:rPr>
        <w:t>520</w:t>
      </w:r>
      <w:r w:rsidR="00E81962" w:rsidRPr="006D38E7">
        <w:rPr>
          <w:rFonts w:ascii="Times New Roman" w:hAnsi="Times New Roman" w:cs="Times New Roman"/>
          <w:sz w:val="20"/>
          <w:szCs w:val="20"/>
        </w:rPr>
        <w:t xml:space="preserve"> millones</w:t>
      </w:r>
      <w:r w:rsidRPr="006D38E7">
        <w:rPr>
          <w:rFonts w:ascii="Times New Roman" w:hAnsi="Times New Roman" w:cs="Times New Roman"/>
          <w:sz w:val="20"/>
          <w:szCs w:val="20"/>
        </w:rPr>
        <w:t>.</w:t>
      </w:r>
      <w:r w:rsidR="0026357F">
        <w:rPr>
          <w:rFonts w:ascii="Times New Roman" w:hAnsi="Times New Roman" w:cs="Times New Roman"/>
          <w:sz w:val="20"/>
          <w:szCs w:val="20"/>
        </w:rPr>
        <w:t xml:space="preserve"> Así también el número de suscriptores aumentó en más de 4.1 millones durante ese lapso (Véanse Gráficas 8 y 9)</w:t>
      </w:r>
      <w:r w:rsidR="00000966" w:rsidRPr="006D38E7">
        <w:rPr>
          <w:rFonts w:ascii="Times New Roman" w:hAnsi="Times New Roman" w:cs="Times New Roman"/>
          <w:sz w:val="20"/>
          <w:szCs w:val="20"/>
        </w:rPr>
        <w:t xml:space="preserve">. </w:t>
      </w:r>
      <w:r w:rsidR="001954CB" w:rsidRPr="006D38E7">
        <w:rPr>
          <w:rFonts w:ascii="Times New Roman" w:hAnsi="Times New Roman" w:cs="Times New Roman"/>
          <w:sz w:val="20"/>
          <w:szCs w:val="20"/>
        </w:rPr>
        <w:t>Dado</w:t>
      </w:r>
      <w:r w:rsidR="008D52F5" w:rsidRPr="006D38E7">
        <w:rPr>
          <w:rFonts w:ascii="Times New Roman" w:hAnsi="Times New Roman" w:cs="Times New Roman"/>
          <w:sz w:val="20"/>
          <w:szCs w:val="20"/>
        </w:rPr>
        <w:t xml:space="preserve"> que la demanda </w:t>
      </w:r>
      <w:r w:rsidR="009E6366" w:rsidRPr="006D38E7">
        <w:rPr>
          <w:rFonts w:ascii="Times New Roman" w:hAnsi="Times New Roman" w:cs="Times New Roman"/>
          <w:sz w:val="20"/>
          <w:szCs w:val="20"/>
        </w:rPr>
        <w:t>tiene pendiente negativa</w:t>
      </w:r>
      <w:r w:rsidR="00000966" w:rsidRPr="006D38E7">
        <w:rPr>
          <w:rStyle w:val="Refdenotaalpie"/>
          <w:rFonts w:ascii="Times New Roman" w:hAnsi="Times New Roman" w:cs="Times New Roman"/>
          <w:sz w:val="20"/>
          <w:szCs w:val="20"/>
        </w:rPr>
        <w:footnoteReference w:id="24"/>
      </w:r>
      <w:r w:rsidR="008D52F5" w:rsidRPr="006D38E7">
        <w:rPr>
          <w:rFonts w:ascii="Times New Roman" w:hAnsi="Times New Roman" w:cs="Times New Roman"/>
          <w:sz w:val="20"/>
          <w:szCs w:val="20"/>
        </w:rPr>
        <w:t xml:space="preserve">, dicho incremento conlleva un aumento en el excedente del consumidor, igual al área </w:t>
      </w:r>
      <w:r w:rsidR="00DD7A6B" w:rsidRPr="006D38E7">
        <w:rPr>
          <w:rFonts w:ascii="Times New Roman" w:hAnsi="Times New Roman" w:cs="Times New Roman"/>
          <w:sz w:val="20"/>
          <w:szCs w:val="20"/>
        </w:rPr>
        <w:t>entre los puntos PoP1BC</w:t>
      </w:r>
      <w:r w:rsidR="005A3BD1">
        <w:rPr>
          <w:rFonts w:ascii="Times New Roman" w:hAnsi="Times New Roman" w:cs="Times New Roman"/>
          <w:sz w:val="20"/>
          <w:szCs w:val="20"/>
        </w:rPr>
        <w:t xml:space="preserve"> </w:t>
      </w:r>
      <w:r w:rsidR="005A3BD1" w:rsidRPr="00D15D61">
        <w:rPr>
          <w:rFonts w:ascii="Times New Roman" w:hAnsi="Times New Roman" w:cs="Times New Roman"/>
          <w:sz w:val="20"/>
          <w:szCs w:val="20"/>
        </w:rPr>
        <w:t>de la gr</w:t>
      </w:r>
      <w:r w:rsidR="00492B60" w:rsidRPr="00D15D61">
        <w:rPr>
          <w:rFonts w:ascii="Times New Roman" w:hAnsi="Times New Roman" w:cs="Times New Roman"/>
          <w:sz w:val="20"/>
          <w:szCs w:val="20"/>
        </w:rPr>
        <w:t>áfica 7</w:t>
      </w:r>
      <w:r w:rsidR="008D52F5" w:rsidRPr="00D15D61">
        <w:rPr>
          <w:rFonts w:ascii="Times New Roman" w:hAnsi="Times New Roman" w:cs="Times New Roman"/>
          <w:sz w:val="20"/>
          <w:szCs w:val="20"/>
        </w:rPr>
        <w:t>.</w:t>
      </w:r>
    </w:p>
    <w:p w:rsidR="0098403F" w:rsidRPr="006D38E7" w:rsidRDefault="0098403F" w:rsidP="0098403F">
      <w:pPr>
        <w:spacing w:after="120" w:line="240" w:lineRule="auto"/>
        <w:jc w:val="both"/>
        <w:rPr>
          <w:rFonts w:ascii="Times New Roman" w:hAnsi="Times New Roman" w:cs="Times New Roman"/>
          <w:sz w:val="20"/>
          <w:szCs w:val="20"/>
        </w:rPr>
      </w:pPr>
      <w:r w:rsidRPr="006D38E7">
        <w:rPr>
          <w:rFonts w:ascii="Times New Roman" w:hAnsi="Times New Roman" w:cs="Times New Roman"/>
          <w:sz w:val="20"/>
          <w:szCs w:val="20"/>
        </w:rPr>
        <w:t xml:space="preserve">Cabe destacar que el aumento en el consumo, y por ende en el excedente del consumidor, es significativo, no obstante que los siguientes factores pudieron inhibir su expansión: </w:t>
      </w:r>
    </w:p>
    <w:p w:rsidR="0098403F" w:rsidRPr="006D38E7" w:rsidRDefault="0098403F" w:rsidP="0098403F">
      <w:pPr>
        <w:pStyle w:val="Prrafodelista"/>
        <w:numPr>
          <w:ilvl w:val="0"/>
          <w:numId w:val="49"/>
        </w:numPr>
        <w:spacing w:after="80" w:line="240" w:lineRule="auto"/>
        <w:ind w:left="193" w:hanging="193"/>
        <w:contextualSpacing w:val="0"/>
        <w:jc w:val="both"/>
        <w:rPr>
          <w:rFonts w:ascii="Times New Roman" w:hAnsi="Times New Roman" w:cs="Times New Roman"/>
          <w:sz w:val="20"/>
          <w:szCs w:val="20"/>
        </w:rPr>
      </w:pPr>
      <w:r w:rsidRPr="006D38E7">
        <w:rPr>
          <w:rFonts w:ascii="Times New Roman" w:hAnsi="Times New Roman" w:cs="Times New Roman"/>
          <w:sz w:val="20"/>
          <w:szCs w:val="20"/>
        </w:rPr>
        <w:t>La reducción del ingreso disponible de los consumidores en México, derivado de un aumento en la tasa del impuesto sobre la renta y la reducción de los conceptos de deducción fiscal durante 2015. Esto sugiere que el efecto ingreso (negativo por la caída del ingreso disponible) compensa  la ganancia en la capacidad adquisitiva derivada del menor precio de los servicios móviles (conflicto entre políticas públicas).</w:t>
      </w:r>
    </w:p>
    <w:p w:rsidR="0098403F" w:rsidRPr="006D38E7" w:rsidRDefault="0098403F" w:rsidP="0098403F">
      <w:pPr>
        <w:pStyle w:val="Prrafodelista"/>
        <w:numPr>
          <w:ilvl w:val="0"/>
          <w:numId w:val="49"/>
        </w:numPr>
        <w:spacing w:after="80" w:line="240" w:lineRule="auto"/>
        <w:ind w:left="193" w:hanging="193"/>
        <w:contextualSpacing w:val="0"/>
        <w:jc w:val="both"/>
        <w:rPr>
          <w:rFonts w:ascii="Times New Roman" w:hAnsi="Times New Roman" w:cs="Times New Roman"/>
          <w:sz w:val="20"/>
          <w:szCs w:val="20"/>
        </w:rPr>
      </w:pPr>
      <w:r w:rsidRPr="006D38E7">
        <w:rPr>
          <w:rFonts w:ascii="Times New Roman" w:hAnsi="Times New Roman" w:cs="Times New Roman"/>
          <w:sz w:val="20"/>
          <w:szCs w:val="20"/>
        </w:rPr>
        <w:t xml:space="preserve">La depuración del número de suscriptores en las bases de datos del preponderante. Este contaba en su base con un número importante de usuarios que permanecían inactivos. </w:t>
      </w:r>
    </w:p>
    <w:p w:rsidR="0098403F" w:rsidRPr="006D38E7" w:rsidRDefault="0098403F" w:rsidP="0098403F">
      <w:pPr>
        <w:pStyle w:val="Prrafodelista"/>
        <w:numPr>
          <w:ilvl w:val="0"/>
          <w:numId w:val="49"/>
        </w:numPr>
        <w:spacing w:after="80" w:line="240" w:lineRule="auto"/>
        <w:ind w:left="193" w:hanging="193"/>
        <w:contextualSpacing w:val="0"/>
        <w:jc w:val="both"/>
        <w:rPr>
          <w:rFonts w:ascii="Times New Roman" w:hAnsi="Times New Roman" w:cs="Times New Roman"/>
          <w:sz w:val="20"/>
          <w:szCs w:val="20"/>
        </w:rPr>
      </w:pPr>
      <w:r w:rsidRPr="006D38E7">
        <w:rPr>
          <w:rFonts w:ascii="Times New Roman" w:hAnsi="Times New Roman" w:cs="Times New Roman"/>
          <w:sz w:val="20"/>
          <w:szCs w:val="20"/>
        </w:rPr>
        <w:t>La migración de los usuarios hacia los s</w:t>
      </w:r>
      <w:r w:rsidR="009741D7">
        <w:rPr>
          <w:rFonts w:ascii="Times New Roman" w:hAnsi="Times New Roman" w:cs="Times New Roman"/>
          <w:sz w:val="20"/>
          <w:szCs w:val="20"/>
        </w:rPr>
        <w:t>ervicios de datos como “WhatsA</w:t>
      </w:r>
      <w:r w:rsidRPr="006D38E7">
        <w:rPr>
          <w:rFonts w:ascii="Times New Roman" w:hAnsi="Times New Roman" w:cs="Times New Roman"/>
          <w:sz w:val="20"/>
          <w:szCs w:val="20"/>
        </w:rPr>
        <w:t xml:space="preserve">pp” o SMS, en detrimento del uso del tráfico de voz. </w:t>
      </w:r>
    </w:p>
    <w:p w:rsidR="0098403F" w:rsidRDefault="0098403F" w:rsidP="00940009">
      <w:pPr>
        <w:spacing w:after="120" w:line="240" w:lineRule="auto"/>
        <w:jc w:val="both"/>
        <w:rPr>
          <w:rFonts w:ascii="Times New Roman" w:hAnsi="Times New Roman" w:cs="Times New Roman"/>
          <w:sz w:val="20"/>
          <w:szCs w:val="20"/>
        </w:rPr>
      </w:pPr>
    </w:p>
    <w:p w:rsidR="00776B4F" w:rsidRDefault="00776B4F">
      <w:r>
        <w:br w:type="page"/>
      </w:r>
      <w:bookmarkStart w:id="0" w:name="_GoBack"/>
      <w:bookmarkEnd w:id="0"/>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3"/>
        <w:gridCol w:w="3327"/>
        <w:gridCol w:w="3644"/>
      </w:tblGrid>
      <w:tr w:rsidR="00492B60" w:rsidTr="00D27F75">
        <w:tc>
          <w:tcPr>
            <w:tcW w:w="3303" w:type="dxa"/>
          </w:tcPr>
          <w:p w:rsidR="00940009" w:rsidRDefault="001234EA" w:rsidP="00940009">
            <w:pPr>
              <w:spacing w:after="120"/>
              <w:jc w:val="both"/>
              <w:rPr>
                <w:rFonts w:ascii="Times New Roman" w:hAnsi="Times New Roman" w:cs="Times New Roman"/>
                <w:sz w:val="20"/>
                <w:szCs w:val="20"/>
              </w:rPr>
            </w:pPr>
            <w:r>
              <w:rPr>
                <w:rFonts w:ascii="Times New Roman" w:hAnsi="Times New Roman" w:cs="Times New Roman"/>
                <w:sz w:val="20"/>
                <w:szCs w:val="20"/>
              </w:rPr>
              <w:lastRenderedPageBreak/>
              <w:t xml:space="preserve">Gráfica </w:t>
            </w:r>
            <w:r w:rsidR="00492B60">
              <w:rPr>
                <w:rFonts w:ascii="Times New Roman" w:hAnsi="Times New Roman" w:cs="Times New Roman"/>
                <w:sz w:val="20"/>
                <w:szCs w:val="20"/>
              </w:rPr>
              <w:t>7</w:t>
            </w:r>
            <w:r>
              <w:rPr>
                <w:rFonts w:ascii="Times New Roman" w:hAnsi="Times New Roman" w:cs="Times New Roman"/>
                <w:sz w:val="20"/>
                <w:szCs w:val="20"/>
              </w:rPr>
              <w:t>. Excedente del Consumidor</w:t>
            </w:r>
          </w:p>
        </w:tc>
        <w:tc>
          <w:tcPr>
            <w:tcW w:w="3327" w:type="dxa"/>
          </w:tcPr>
          <w:p w:rsidR="00940009" w:rsidRDefault="001234EA" w:rsidP="00940009">
            <w:pPr>
              <w:spacing w:after="120"/>
              <w:jc w:val="both"/>
              <w:rPr>
                <w:rFonts w:ascii="Times New Roman" w:hAnsi="Times New Roman" w:cs="Times New Roman"/>
                <w:sz w:val="20"/>
                <w:szCs w:val="20"/>
              </w:rPr>
            </w:pPr>
            <w:r>
              <w:rPr>
                <w:rFonts w:ascii="Times New Roman" w:hAnsi="Times New Roman" w:cs="Times New Roman"/>
                <w:sz w:val="20"/>
                <w:szCs w:val="20"/>
              </w:rPr>
              <w:t>Gráfica 8. Tráfico de Voz</w:t>
            </w:r>
          </w:p>
        </w:tc>
        <w:tc>
          <w:tcPr>
            <w:tcW w:w="3644" w:type="dxa"/>
          </w:tcPr>
          <w:p w:rsidR="00940009" w:rsidRDefault="001234EA" w:rsidP="00940009">
            <w:pPr>
              <w:spacing w:after="120"/>
              <w:jc w:val="both"/>
              <w:rPr>
                <w:rFonts w:ascii="Times New Roman" w:hAnsi="Times New Roman" w:cs="Times New Roman"/>
                <w:sz w:val="20"/>
                <w:szCs w:val="20"/>
              </w:rPr>
            </w:pPr>
            <w:r>
              <w:rPr>
                <w:rFonts w:ascii="Times New Roman" w:hAnsi="Times New Roman" w:cs="Times New Roman"/>
                <w:sz w:val="20"/>
                <w:szCs w:val="20"/>
              </w:rPr>
              <w:t>Gráfica 9. Suscriptores</w:t>
            </w:r>
          </w:p>
        </w:tc>
      </w:tr>
      <w:tr w:rsidR="00492B60" w:rsidTr="00D27F75">
        <w:tblPrEx>
          <w:tblCellMar>
            <w:left w:w="70" w:type="dxa"/>
            <w:right w:w="70" w:type="dxa"/>
          </w:tblCellMar>
        </w:tblPrEx>
        <w:tc>
          <w:tcPr>
            <w:tcW w:w="3303" w:type="dxa"/>
          </w:tcPr>
          <w:p w:rsidR="00940009" w:rsidRDefault="00940009" w:rsidP="00940009">
            <w:pPr>
              <w:spacing w:after="120"/>
              <w:jc w:val="both"/>
              <w:rPr>
                <w:rFonts w:ascii="Times New Roman" w:hAnsi="Times New Roman" w:cs="Times New Roman"/>
                <w:sz w:val="20"/>
                <w:szCs w:val="20"/>
              </w:rPr>
            </w:pPr>
            <w:r>
              <w:rPr>
                <w:noProof/>
                <w:lang w:eastAsia="es-MX"/>
              </w:rPr>
              <w:drawing>
                <wp:inline distT="0" distB="0" distL="0" distR="0" wp14:anchorId="581E4D17" wp14:editId="60EAB2CB">
                  <wp:extent cx="1995488" cy="1804380"/>
                  <wp:effectExtent l="19050" t="19050" r="24130" b="24765"/>
                  <wp:docPr id="6"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14" cstate="print">
                            <a:extLst>
                              <a:ext uri="{28A0092B-C50C-407E-A947-70E740481C1C}">
                                <a14:useLocalDpi xmlns:a14="http://schemas.microsoft.com/office/drawing/2010/main" val="0"/>
                              </a:ext>
                            </a:extLst>
                          </a:blip>
                          <a:srcRect l="5770" r="50951" b="26675"/>
                          <a:stretch/>
                        </pic:blipFill>
                        <pic:spPr bwMode="auto">
                          <a:xfrm>
                            <a:off x="0" y="0"/>
                            <a:ext cx="2005494" cy="1813428"/>
                          </a:xfrm>
                          <a:prstGeom prst="rect">
                            <a:avLst/>
                          </a:prstGeom>
                          <a:ln w="19050">
                            <a:solidFill>
                              <a:srgbClr val="0070C0"/>
                            </a:solidFill>
                          </a:ln>
                          <a:extLst>
                            <a:ext uri="{53640926-AAD7-44D8-BBD7-CCE9431645EC}">
                              <a14:shadowObscured xmlns:a14="http://schemas.microsoft.com/office/drawing/2010/main"/>
                            </a:ext>
                          </a:extLst>
                        </pic:spPr>
                      </pic:pic>
                    </a:graphicData>
                  </a:graphic>
                </wp:inline>
              </w:drawing>
            </w:r>
          </w:p>
        </w:tc>
        <w:tc>
          <w:tcPr>
            <w:tcW w:w="3327" w:type="dxa"/>
          </w:tcPr>
          <w:p w:rsidR="00940009" w:rsidRDefault="00492B60" w:rsidP="00940009">
            <w:pPr>
              <w:spacing w:after="120"/>
              <w:jc w:val="both"/>
              <w:rPr>
                <w:rFonts w:ascii="Times New Roman" w:hAnsi="Times New Roman" w:cs="Times New Roman"/>
                <w:sz w:val="20"/>
                <w:szCs w:val="20"/>
              </w:rPr>
            </w:pPr>
            <w:r>
              <w:rPr>
                <w:rFonts w:ascii="Times New Roman" w:hAnsi="Times New Roman" w:cs="Times New Roman"/>
                <w:noProof/>
                <w:sz w:val="20"/>
                <w:szCs w:val="20"/>
                <w:lang w:eastAsia="es-MX"/>
              </w:rPr>
              <w:drawing>
                <wp:inline distT="0" distB="0" distL="0" distR="0" wp14:anchorId="50DD267C" wp14:editId="4F1A4A4C">
                  <wp:extent cx="2051685" cy="1852295"/>
                  <wp:effectExtent l="0" t="0" r="571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81530" cy="1879240"/>
                          </a:xfrm>
                          <a:prstGeom prst="rect">
                            <a:avLst/>
                          </a:prstGeom>
                          <a:noFill/>
                        </pic:spPr>
                      </pic:pic>
                    </a:graphicData>
                  </a:graphic>
                </wp:inline>
              </w:drawing>
            </w:r>
          </w:p>
        </w:tc>
        <w:tc>
          <w:tcPr>
            <w:tcW w:w="3644" w:type="dxa"/>
          </w:tcPr>
          <w:p w:rsidR="00940009" w:rsidRDefault="001234EA" w:rsidP="00940009">
            <w:pPr>
              <w:spacing w:after="120"/>
              <w:jc w:val="both"/>
              <w:rPr>
                <w:rFonts w:ascii="Times New Roman" w:hAnsi="Times New Roman" w:cs="Times New Roman"/>
                <w:sz w:val="20"/>
                <w:szCs w:val="20"/>
              </w:rPr>
            </w:pPr>
            <w:r>
              <w:rPr>
                <w:rFonts w:ascii="Times New Roman" w:hAnsi="Times New Roman" w:cs="Times New Roman"/>
                <w:noProof/>
                <w:sz w:val="20"/>
                <w:szCs w:val="20"/>
                <w:lang w:eastAsia="es-MX"/>
              </w:rPr>
              <w:drawing>
                <wp:inline distT="0" distB="0" distL="0" distR="0" wp14:anchorId="23F66F1C">
                  <wp:extent cx="2186700" cy="1861338"/>
                  <wp:effectExtent l="0" t="0" r="4445" b="571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1671" cy="1874081"/>
                          </a:xfrm>
                          <a:prstGeom prst="rect">
                            <a:avLst/>
                          </a:prstGeom>
                          <a:noFill/>
                        </pic:spPr>
                      </pic:pic>
                    </a:graphicData>
                  </a:graphic>
                </wp:inline>
              </w:drawing>
            </w:r>
          </w:p>
        </w:tc>
      </w:tr>
    </w:tbl>
    <w:p w:rsidR="00940009" w:rsidRDefault="00940009" w:rsidP="00940009">
      <w:pPr>
        <w:spacing w:after="120" w:line="240" w:lineRule="auto"/>
        <w:jc w:val="both"/>
        <w:rPr>
          <w:rFonts w:ascii="Times New Roman" w:hAnsi="Times New Roman" w:cs="Times New Roman"/>
          <w:sz w:val="20"/>
          <w:szCs w:val="20"/>
        </w:rPr>
      </w:pPr>
    </w:p>
    <w:p w:rsidR="00326038" w:rsidRPr="00326038" w:rsidRDefault="00326038" w:rsidP="00326038">
      <w:pPr>
        <w:spacing w:after="120" w:line="240" w:lineRule="auto"/>
        <w:jc w:val="both"/>
        <w:rPr>
          <w:rFonts w:ascii="Times New Roman" w:eastAsiaTheme="minorEastAsia" w:hAnsi="Times New Roman" w:cs="Times New Roman"/>
          <w:b/>
          <w:color w:val="000000" w:themeColor="text1"/>
        </w:rPr>
      </w:pPr>
      <w:r w:rsidRPr="00326038">
        <w:rPr>
          <w:rFonts w:ascii="Times New Roman" w:hAnsi="Times New Roman" w:cs="Times New Roman"/>
          <w:color w:val="000000" w:themeColor="text1"/>
          <w:sz w:val="20"/>
          <w:szCs w:val="20"/>
        </w:rPr>
        <w:t xml:space="preserve">Como lo predice el modelo, en la medida que la TTM de los entrantes se mantiene por encima de costos, hay un excedente total que no se está generando. En ese sentido, toda regulación asimétrica debe acotarse en el tiempo, así como fue aplicado en  los países europeos. </w:t>
      </w:r>
      <w:proofErr w:type="spellStart"/>
      <w:r w:rsidRPr="00326038">
        <w:rPr>
          <w:rFonts w:ascii="Times New Roman" w:hAnsi="Times New Roman" w:cs="Times New Roman"/>
          <w:color w:val="000000" w:themeColor="text1"/>
          <w:sz w:val="20"/>
          <w:szCs w:val="20"/>
        </w:rPr>
        <w:t>Chou</w:t>
      </w:r>
      <w:proofErr w:type="spellEnd"/>
      <w:r w:rsidRPr="00326038">
        <w:rPr>
          <w:rFonts w:ascii="Times New Roman" w:hAnsi="Times New Roman" w:cs="Times New Roman"/>
          <w:color w:val="000000" w:themeColor="text1"/>
          <w:sz w:val="20"/>
          <w:szCs w:val="20"/>
        </w:rPr>
        <w:t xml:space="preserve"> y </w:t>
      </w:r>
      <w:proofErr w:type="spellStart"/>
      <w:r w:rsidRPr="00326038">
        <w:rPr>
          <w:rFonts w:ascii="Times New Roman" w:hAnsi="Times New Roman" w:cs="Times New Roman"/>
          <w:color w:val="000000" w:themeColor="text1"/>
          <w:sz w:val="20"/>
          <w:szCs w:val="20"/>
        </w:rPr>
        <w:t>Ching</w:t>
      </w:r>
      <w:proofErr w:type="spellEnd"/>
      <w:r w:rsidRPr="00326038">
        <w:rPr>
          <w:rFonts w:ascii="Times New Roman" w:hAnsi="Times New Roman" w:cs="Times New Roman"/>
          <w:color w:val="000000" w:themeColor="text1"/>
          <w:sz w:val="20"/>
          <w:szCs w:val="20"/>
        </w:rPr>
        <w:t xml:space="preserve"> Lu (2006), entre otros autores, han señalado los riesgos de mantener indefinidamente la regulación asimétrica.  </w:t>
      </w:r>
    </w:p>
    <w:p w:rsidR="00B14D4A" w:rsidRDefault="00B14D4A" w:rsidP="0098403F">
      <w:pPr>
        <w:spacing w:after="120" w:line="240" w:lineRule="auto"/>
        <w:jc w:val="both"/>
        <w:rPr>
          <w:rFonts w:ascii="Times New Roman" w:hAnsi="Times New Roman" w:cs="Times New Roman"/>
          <w:b/>
          <w:sz w:val="20"/>
          <w:szCs w:val="20"/>
        </w:rPr>
      </w:pPr>
    </w:p>
    <w:p w:rsidR="000C5DD1" w:rsidRPr="006D38E7" w:rsidRDefault="000C5DD1" w:rsidP="000C62C6">
      <w:pPr>
        <w:spacing w:line="480" w:lineRule="auto"/>
        <w:jc w:val="both"/>
        <w:rPr>
          <w:rFonts w:ascii="Times New Roman" w:hAnsi="Times New Roman" w:cs="Times New Roman"/>
          <w:b/>
          <w:sz w:val="20"/>
          <w:szCs w:val="20"/>
        </w:rPr>
      </w:pPr>
      <w:r w:rsidRPr="006D38E7">
        <w:rPr>
          <w:rFonts w:ascii="Times New Roman" w:hAnsi="Times New Roman" w:cs="Times New Roman"/>
          <w:b/>
          <w:sz w:val="20"/>
          <w:szCs w:val="20"/>
        </w:rPr>
        <w:t>Evaluación de la Conclusión:</w:t>
      </w:r>
      <w:r w:rsidR="00096FA8" w:rsidRPr="006D38E7">
        <w:rPr>
          <w:rFonts w:ascii="Times New Roman" w:hAnsi="Times New Roman" w:cs="Times New Roman"/>
          <w:b/>
          <w:sz w:val="20"/>
          <w:szCs w:val="20"/>
        </w:rPr>
        <w:t xml:space="preserve"> </w:t>
      </w:r>
      <w:r w:rsidRPr="006D38E7">
        <w:rPr>
          <w:rFonts w:ascii="Times New Roman" w:hAnsi="Times New Roman" w:cs="Times New Roman"/>
          <w:b/>
          <w:sz w:val="20"/>
          <w:szCs w:val="20"/>
        </w:rPr>
        <w:t>Aumento de la Rentabilidad de</w:t>
      </w:r>
      <w:r w:rsidR="005A5B7B" w:rsidRPr="006D38E7">
        <w:rPr>
          <w:rFonts w:ascii="Times New Roman" w:hAnsi="Times New Roman" w:cs="Times New Roman"/>
          <w:b/>
          <w:sz w:val="20"/>
          <w:szCs w:val="20"/>
        </w:rPr>
        <w:t xml:space="preserve"> </w:t>
      </w:r>
      <w:r w:rsidRPr="006D38E7">
        <w:rPr>
          <w:rFonts w:ascii="Times New Roman" w:hAnsi="Times New Roman" w:cs="Times New Roman"/>
          <w:b/>
          <w:sz w:val="20"/>
          <w:szCs w:val="20"/>
        </w:rPr>
        <w:t>l</w:t>
      </w:r>
      <w:r w:rsidR="005A5B7B" w:rsidRPr="006D38E7">
        <w:rPr>
          <w:rFonts w:ascii="Times New Roman" w:hAnsi="Times New Roman" w:cs="Times New Roman"/>
          <w:b/>
          <w:sz w:val="20"/>
          <w:szCs w:val="20"/>
        </w:rPr>
        <w:t>os Entrantes</w:t>
      </w:r>
    </w:p>
    <w:tbl>
      <w:tblPr>
        <w:tblStyle w:val="Tablaconcuadrcula"/>
        <w:tblW w:w="0" w:type="auto"/>
        <w:tblLook w:val="04A0" w:firstRow="1" w:lastRow="0" w:firstColumn="1" w:lastColumn="0" w:noHBand="0" w:noVBand="1"/>
      </w:tblPr>
      <w:tblGrid>
        <w:gridCol w:w="10060"/>
      </w:tblGrid>
      <w:tr w:rsidR="00096FA8" w:rsidRPr="005D226A" w:rsidTr="001B7E2D">
        <w:tc>
          <w:tcPr>
            <w:tcW w:w="10060" w:type="dxa"/>
          </w:tcPr>
          <w:p w:rsidR="008940D3" w:rsidRPr="006D38E7" w:rsidRDefault="00BB5B7A" w:rsidP="006D38E7">
            <w:pPr>
              <w:spacing w:after="120"/>
              <w:jc w:val="both"/>
              <w:rPr>
                <w:rFonts w:ascii="Times New Roman" w:hAnsi="Times New Roman" w:cs="Times New Roman"/>
                <w:b/>
                <w:sz w:val="20"/>
                <w:szCs w:val="20"/>
              </w:rPr>
            </w:pPr>
            <w:r w:rsidRPr="006D38E7">
              <w:rPr>
                <w:rFonts w:ascii="Times New Roman" w:hAnsi="Times New Roman" w:cs="Times New Roman"/>
                <w:b/>
                <w:sz w:val="20"/>
                <w:szCs w:val="20"/>
              </w:rPr>
              <w:t>Res</w:t>
            </w:r>
            <w:r w:rsidR="001C198B" w:rsidRPr="006D38E7">
              <w:rPr>
                <w:rFonts w:ascii="Times New Roman" w:hAnsi="Times New Roman" w:cs="Times New Roman"/>
                <w:b/>
                <w:sz w:val="20"/>
                <w:szCs w:val="20"/>
              </w:rPr>
              <w:t xml:space="preserve">ultado Ecuación 2 </w:t>
            </w:r>
            <w:r w:rsidR="001B7E2D" w:rsidRPr="006D38E7">
              <w:rPr>
                <w:rFonts w:ascii="Times New Roman" w:hAnsi="Times New Roman" w:cs="Times New Roman"/>
                <w:b/>
                <w:sz w:val="20"/>
                <w:szCs w:val="20"/>
              </w:rPr>
              <w:t xml:space="preserve">c </w:t>
            </w:r>
            <w:r w:rsidR="00E019AA">
              <w:rPr>
                <w:rFonts w:ascii="Times New Roman" w:hAnsi="Times New Roman" w:cs="Times New Roman"/>
                <w:b/>
                <w:sz w:val="20"/>
                <w:szCs w:val="20"/>
              </w:rPr>
              <w:t>-</w:t>
            </w:r>
            <w:r w:rsidRPr="006D38E7">
              <w:rPr>
                <w:rFonts w:ascii="Times New Roman" w:hAnsi="Times New Roman" w:cs="Times New Roman"/>
                <w:b/>
                <w:sz w:val="20"/>
                <w:szCs w:val="20"/>
              </w:rPr>
              <w:t>Cuadro</w:t>
            </w:r>
            <w:r w:rsidR="001B7E2D" w:rsidRPr="006D38E7">
              <w:rPr>
                <w:rFonts w:ascii="Times New Roman" w:hAnsi="Times New Roman" w:cs="Times New Roman"/>
                <w:b/>
                <w:sz w:val="20"/>
                <w:szCs w:val="20"/>
              </w:rPr>
              <w:t xml:space="preserve"> 3a</w:t>
            </w:r>
            <w:r w:rsidR="00096FA8" w:rsidRPr="006D38E7">
              <w:rPr>
                <w:rFonts w:ascii="Times New Roman" w:hAnsi="Times New Roman" w:cs="Times New Roman"/>
                <w:b/>
                <w:sz w:val="20"/>
                <w:szCs w:val="20"/>
              </w:rPr>
              <w:t xml:space="preserve">: </w:t>
            </w:r>
            <w:r w:rsidR="00096FA8" w:rsidRPr="006D38E7">
              <w:rPr>
                <w:rFonts w:ascii="Times New Roman" w:hAnsi="Times New Roman" w:cs="Times New Roman"/>
                <w:sz w:val="20"/>
                <w:szCs w:val="20"/>
              </w:rPr>
              <w:t xml:space="preserve">la rentabilidad </w:t>
            </w:r>
            <w:r w:rsidR="008940D3" w:rsidRPr="006D38E7">
              <w:rPr>
                <w:rFonts w:ascii="Times New Roman" w:hAnsi="Times New Roman" w:cs="Times New Roman"/>
                <w:sz w:val="20"/>
                <w:szCs w:val="20"/>
              </w:rPr>
              <w:t xml:space="preserve"> de los entrantes </w:t>
            </w:r>
            <w:r w:rsidR="00096FA8" w:rsidRPr="006D38E7">
              <w:rPr>
                <w:rFonts w:ascii="Times New Roman" w:hAnsi="Times New Roman" w:cs="Times New Roman"/>
                <w:sz w:val="20"/>
                <w:szCs w:val="20"/>
              </w:rPr>
              <w:t>depende</w:t>
            </w:r>
            <w:r w:rsidR="008940D3" w:rsidRPr="006D38E7">
              <w:rPr>
                <w:rFonts w:ascii="Times New Roman" w:hAnsi="Times New Roman" w:cs="Times New Roman"/>
                <w:sz w:val="20"/>
                <w:szCs w:val="20"/>
              </w:rPr>
              <w:t>n</w:t>
            </w:r>
            <w:r w:rsidR="00096FA8" w:rsidRPr="006D38E7">
              <w:rPr>
                <w:rFonts w:ascii="Times New Roman" w:hAnsi="Times New Roman" w:cs="Times New Roman"/>
                <w:sz w:val="20"/>
                <w:szCs w:val="20"/>
              </w:rPr>
              <w:t xml:space="preserve"> de </w:t>
            </w:r>
            <w:r w:rsidR="001C198B" w:rsidRPr="006D38E7">
              <w:rPr>
                <w:rFonts w:ascii="Times New Roman" w:hAnsi="Times New Roman" w:cs="Times New Roman"/>
                <w:sz w:val="20"/>
                <w:szCs w:val="20"/>
              </w:rPr>
              <w:t>su valor</w:t>
            </w:r>
            <w:r w:rsidR="00096FA8" w:rsidRPr="006D38E7">
              <w:rPr>
                <w:rFonts w:ascii="Times New Roman" w:hAnsi="Times New Roman" w:cs="Times New Roman"/>
                <w:sz w:val="20"/>
                <w:szCs w:val="20"/>
              </w:rPr>
              <w:t xml:space="preserve"> </w:t>
            </w:r>
            <w:r w:rsidR="00A56735" w:rsidRPr="006D38E7">
              <w:rPr>
                <w:rFonts w:ascii="Times New Roman" w:hAnsi="Times New Roman" w:cs="Times New Roman"/>
                <w:sz w:val="20"/>
                <w:szCs w:val="20"/>
              </w:rPr>
              <w:t>rezagado</w:t>
            </w:r>
            <w:r w:rsidR="005F6546">
              <w:rPr>
                <w:rFonts w:ascii="Times New Roman" w:hAnsi="Times New Roman" w:cs="Times New Roman"/>
                <w:sz w:val="20"/>
                <w:szCs w:val="20"/>
              </w:rPr>
              <w:t xml:space="preserve"> y de TTM cobrada por los entrantes</w:t>
            </w:r>
            <w:r w:rsidR="00096FA8" w:rsidRPr="006D38E7">
              <w:rPr>
                <w:rFonts w:ascii="Times New Roman" w:hAnsi="Times New Roman" w:cs="Times New Roman"/>
                <w:sz w:val="20"/>
                <w:szCs w:val="20"/>
              </w:rPr>
              <w:t>.</w:t>
            </w:r>
            <w:r w:rsidR="00096FA8" w:rsidRPr="006D38E7">
              <w:rPr>
                <w:rFonts w:ascii="Times New Roman" w:hAnsi="Times New Roman" w:cs="Times New Roman"/>
                <w:b/>
                <w:sz w:val="20"/>
                <w:szCs w:val="20"/>
              </w:rPr>
              <w:t xml:space="preserve"> </w:t>
            </w:r>
            <w:r w:rsidR="00096FA8" w:rsidRPr="006D38E7">
              <w:rPr>
                <w:rFonts w:ascii="Times New Roman" w:hAnsi="Times New Roman" w:cs="Times New Roman"/>
                <w:sz w:val="20"/>
                <w:szCs w:val="20"/>
              </w:rPr>
              <w:t>No se prevé efecto de la AR.</w:t>
            </w:r>
            <w:r w:rsidR="00096FA8" w:rsidRPr="006D38E7">
              <w:rPr>
                <w:rFonts w:ascii="Times New Roman" w:hAnsi="Times New Roman" w:cs="Times New Roman"/>
                <w:b/>
                <w:sz w:val="20"/>
                <w:szCs w:val="20"/>
              </w:rPr>
              <w:t xml:space="preserve"> </w:t>
            </w:r>
          </w:p>
        </w:tc>
      </w:tr>
    </w:tbl>
    <w:p w:rsidR="00096FA8" w:rsidRDefault="00096FA8" w:rsidP="000C5DD1">
      <w:pPr>
        <w:jc w:val="both"/>
        <w:rPr>
          <w:rFonts w:ascii="Times New Roman" w:hAnsi="Times New Roman" w:cs="Times New Roman"/>
          <w:b/>
          <w:sz w:val="24"/>
          <w:szCs w:val="24"/>
        </w:rPr>
      </w:pPr>
    </w:p>
    <w:p w:rsidR="00B70C78" w:rsidRPr="00B70C78" w:rsidRDefault="00B70C78" w:rsidP="00B70C78">
      <w:pPr>
        <w:spacing w:after="120" w:line="240" w:lineRule="auto"/>
        <w:jc w:val="both"/>
        <w:rPr>
          <w:rFonts w:ascii="Times New Roman" w:eastAsiaTheme="minorEastAsia" w:hAnsi="Times New Roman" w:cs="Times New Roman"/>
          <w:sz w:val="20"/>
          <w:szCs w:val="20"/>
        </w:rPr>
      </w:pPr>
      <w:r w:rsidRPr="00B70C78">
        <w:rPr>
          <w:rFonts w:ascii="Times New Roman" w:hAnsi="Times New Roman" w:cs="Times New Roman"/>
          <w:bCs/>
          <w:sz w:val="20"/>
          <w:szCs w:val="20"/>
        </w:rPr>
        <w:t xml:space="preserve">Por su parte la rentabilidad medida por el margen </w:t>
      </w:r>
      <w:proofErr w:type="spellStart"/>
      <w:r w:rsidRPr="00B70C78">
        <w:rPr>
          <w:rFonts w:ascii="Times New Roman" w:hAnsi="Times New Roman" w:cs="Times New Roman"/>
          <w:bCs/>
          <w:sz w:val="20"/>
          <w:szCs w:val="20"/>
        </w:rPr>
        <w:t>Ebitda</w:t>
      </w:r>
      <w:proofErr w:type="spellEnd"/>
      <w:r w:rsidRPr="00B70C78">
        <w:rPr>
          <w:rFonts w:ascii="Times New Roman" w:hAnsi="Times New Roman" w:cs="Times New Roman"/>
          <w:bCs/>
          <w:sz w:val="20"/>
          <w:szCs w:val="20"/>
        </w:rPr>
        <w:t xml:space="preserve"> muestra una ligera </w:t>
      </w:r>
      <w:r>
        <w:rPr>
          <w:rFonts w:ascii="Times New Roman" w:hAnsi="Times New Roman" w:cs="Times New Roman"/>
          <w:bCs/>
          <w:sz w:val="20"/>
          <w:szCs w:val="20"/>
        </w:rPr>
        <w:t>contracción en el caso del preponderante</w:t>
      </w:r>
      <w:r w:rsidRPr="00B70C78">
        <w:rPr>
          <w:rFonts w:ascii="Times New Roman" w:hAnsi="Times New Roman" w:cs="Times New Roman"/>
          <w:bCs/>
          <w:sz w:val="20"/>
          <w:szCs w:val="20"/>
        </w:rPr>
        <w:t>, y un ligero aumento para los entrantes</w:t>
      </w:r>
      <w:r w:rsidRPr="006D38E7">
        <w:rPr>
          <w:rStyle w:val="Refdenotaalpie"/>
          <w:rFonts w:ascii="Times New Roman" w:hAnsi="Times New Roman" w:cs="Times New Roman"/>
          <w:bCs/>
          <w:sz w:val="20"/>
          <w:szCs w:val="20"/>
        </w:rPr>
        <w:footnoteReference w:id="25"/>
      </w:r>
      <w:r w:rsidRPr="00B70C78">
        <w:rPr>
          <w:rFonts w:ascii="Times New Roman" w:hAnsi="Times New Roman" w:cs="Times New Roman"/>
          <w:bCs/>
          <w:sz w:val="20"/>
          <w:szCs w:val="20"/>
        </w:rPr>
        <w:t>, según predice el modelo</w:t>
      </w:r>
      <w:r w:rsidR="00155F89">
        <w:rPr>
          <w:rFonts w:ascii="Times New Roman" w:hAnsi="Times New Roman" w:cs="Times New Roman"/>
          <w:bCs/>
          <w:sz w:val="20"/>
          <w:szCs w:val="20"/>
        </w:rPr>
        <w:t xml:space="preserve"> de </w:t>
      </w:r>
      <w:proofErr w:type="spellStart"/>
      <w:r w:rsidR="00155F89">
        <w:rPr>
          <w:rFonts w:ascii="Times New Roman" w:hAnsi="Times New Roman" w:cs="Times New Roman"/>
          <w:bCs/>
          <w:sz w:val="20"/>
          <w:szCs w:val="20"/>
        </w:rPr>
        <w:t>Peitz</w:t>
      </w:r>
      <w:proofErr w:type="spellEnd"/>
      <w:r w:rsidR="00155F89">
        <w:rPr>
          <w:rFonts w:ascii="Times New Roman" w:hAnsi="Times New Roman" w:cs="Times New Roman"/>
          <w:bCs/>
          <w:sz w:val="20"/>
          <w:szCs w:val="20"/>
        </w:rPr>
        <w:t xml:space="preserve"> (Gráfica 6</w:t>
      </w:r>
      <w:r w:rsidRPr="00B70C78">
        <w:rPr>
          <w:rFonts w:ascii="Times New Roman" w:hAnsi="Times New Roman" w:cs="Times New Roman"/>
          <w:bCs/>
          <w:sz w:val="20"/>
          <w:szCs w:val="20"/>
        </w:rPr>
        <w:t xml:space="preserve">). Sin embargo el cambio no </w:t>
      </w:r>
      <w:r w:rsidR="00155F89">
        <w:rPr>
          <w:rFonts w:ascii="Times New Roman" w:hAnsi="Times New Roman" w:cs="Times New Roman"/>
          <w:bCs/>
          <w:sz w:val="20"/>
          <w:szCs w:val="20"/>
        </w:rPr>
        <w:t xml:space="preserve">puede ser considerado concluyente ya que no </w:t>
      </w:r>
      <w:r w:rsidRPr="00B70C78">
        <w:rPr>
          <w:rFonts w:ascii="Times New Roman" w:hAnsi="Times New Roman" w:cs="Times New Roman"/>
          <w:bCs/>
          <w:sz w:val="20"/>
          <w:szCs w:val="20"/>
        </w:rPr>
        <w:t xml:space="preserve">presenta una relación estadísticamente significativa frente a las TTM asimétricas.  </w:t>
      </w:r>
      <w:r w:rsidRPr="00B70C78">
        <w:rPr>
          <w:rFonts w:ascii="Times New Roman" w:eastAsiaTheme="minorEastAsia" w:hAnsi="Times New Roman" w:cs="Times New Roman"/>
          <w:sz w:val="20"/>
          <w:szCs w:val="20"/>
        </w:rPr>
        <w:t>La aplicación de TTM asimétricas en México se da en un momento en el tiempo diferente, el cual se caracteriza por una importante desviación del tráfico de comunicaciones a los</w:t>
      </w:r>
      <w:r w:rsidR="00155F89">
        <w:rPr>
          <w:rFonts w:ascii="Times New Roman" w:eastAsiaTheme="minorEastAsia" w:hAnsi="Times New Roman" w:cs="Times New Roman"/>
          <w:sz w:val="20"/>
          <w:szCs w:val="20"/>
        </w:rPr>
        <w:t xml:space="preserve"> servicios de datos. Así, </w:t>
      </w:r>
      <w:r w:rsidRPr="00B70C78">
        <w:rPr>
          <w:rFonts w:ascii="Times New Roman" w:eastAsiaTheme="minorEastAsia" w:hAnsi="Times New Roman" w:cs="Times New Roman"/>
          <w:sz w:val="20"/>
          <w:szCs w:val="20"/>
        </w:rPr>
        <w:t xml:space="preserve">la elasticidad precio de las comunicaciones de voz debe necesariamente ser menor a la observada en Europa hace 10 años ante una política similar.  </w:t>
      </w:r>
    </w:p>
    <w:p w:rsidR="00274C4C" w:rsidRDefault="00274C4C" w:rsidP="006D38E7">
      <w:pPr>
        <w:pStyle w:val="Ttulo3"/>
        <w:keepNext w:val="0"/>
        <w:keepLines w:val="0"/>
        <w:spacing w:before="0" w:after="120" w:line="240" w:lineRule="auto"/>
        <w:jc w:val="both"/>
        <w:rPr>
          <w:rFonts w:ascii="Arial" w:eastAsiaTheme="minorEastAsia" w:hAnsi="Arial" w:cs="Arial"/>
          <w:b/>
          <w:caps/>
          <w:color w:val="auto"/>
          <w:sz w:val="18"/>
          <w:szCs w:val="18"/>
        </w:rPr>
      </w:pPr>
    </w:p>
    <w:p w:rsidR="00560267" w:rsidRPr="00613B69" w:rsidRDefault="00560267" w:rsidP="006D38E7">
      <w:pPr>
        <w:pStyle w:val="Ttulo3"/>
        <w:keepNext w:val="0"/>
        <w:keepLines w:val="0"/>
        <w:spacing w:before="0" w:after="120" w:line="240" w:lineRule="auto"/>
        <w:jc w:val="both"/>
        <w:rPr>
          <w:rFonts w:ascii="Arial" w:eastAsiaTheme="minorEastAsia" w:hAnsi="Arial" w:cs="Arial"/>
          <w:b/>
          <w:caps/>
          <w:color w:val="auto"/>
          <w:sz w:val="18"/>
          <w:szCs w:val="18"/>
        </w:rPr>
      </w:pPr>
      <w:r w:rsidRPr="00613B69">
        <w:rPr>
          <w:rFonts w:ascii="Arial" w:eastAsiaTheme="minorEastAsia" w:hAnsi="Arial" w:cs="Arial"/>
          <w:b/>
          <w:caps/>
          <w:color w:val="auto"/>
          <w:sz w:val="18"/>
          <w:szCs w:val="18"/>
        </w:rPr>
        <w:t>Conclusiones</w:t>
      </w:r>
    </w:p>
    <w:p w:rsidR="00FD0179" w:rsidRPr="006D38E7" w:rsidRDefault="00FD0179" w:rsidP="00B71AE9">
      <w:pPr>
        <w:spacing w:after="120" w:line="240" w:lineRule="auto"/>
        <w:jc w:val="both"/>
        <w:rPr>
          <w:rFonts w:ascii="Times New Roman" w:hAnsi="Times New Roman" w:cs="Times New Roman"/>
          <w:sz w:val="20"/>
          <w:szCs w:val="20"/>
        </w:rPr>
      </w:pPr>
      <w:r w:rsidRPr="006D38E7">
        <w:rPr>
          <w:rFonts w:ascii="Times New Roman" w:hAnsi="Times New Roman" w:cs="Times New Roman"/>
          <w:sz w:val="20"/>
          <w:szCs w:val="20"/>
        </w:rPr>
        <w:t>La aplicació</w:t>
      </w:r>
      <w:r w:rsidR="00391F29" w:rsidRPr="006D38E7">
        <w:rPr>
          <w:rFonts w:ascii="Times New Roman" w:hAnsi="Times New Roman" w:cs="Times New Roman"/>
          <w:sz w:val="20"/>
          <w:szCs w:val="20"/>
        </w:rPr>
        <w:t xml:space="preserve">n de TTM asimétricas en el mercado mexicano ha tenido </w:t>
      </w:r>
      <w:r w:rsidR="0054799D" w:rsidRPr="006D38E7">
        <w:rPr>
          <w:rFonts w:ascii="Times New Roman" w:hAnsi="Times New Roman" w:cs="Times New Roman"/>
          <w:sz w:val="20"/>
          <w:szCs w:val="20"/>
        </w:rPr>
        <w:t xml:space="preserve">importantes </w:t>
      </w:r>
      <w:r w:rsidR="00391F29" w:rsidRPr="006D38E7">
        <w:rPr>
          <w:rFonts w:ascii="Times New Roman" w:hAnsi="Times New Roman" w:cs="Times New Roman"/>
          <w:sz w:val="20"/>
          <w:szCs w:val="20"/>
        </w:rPr>
        <w:t xml:space="preserve">beneficios para el consumidor, los cuales se traducen en menores precios, mayor consumo y, por ende </w:t>
      </w:r>
      <w:r w:rsidRPr="006D38E7">
        <w:rPr>
          <w:rFonts w:ascii="Times New Roman" w:hAnsi="Times New Roman" w:cs="Times New Roman"/>
          <w:sz w:val="20"/>
          <w:szCs w:val="20"/>
        </w:rPr>
        <w:t xml:space="preserve">un </w:t>
      </w:r>
      <w:r w:rsidR="00391F29" w:rsidRPr="006D38E7">
        <w:rPr>
          <w:rFonts w:ascii="Times New Roman" w:hAnsi="Times New Roman" w:cs="Times New Roman"/>
          <w:sz w:val="20"/>
          <w:szCs w:val="20"/>
        </w:rPr>
        <w:t xml:space="preserve">mayor bienestar. </w:t>
      </w:r>
      <w:r w:rsidR="00752B36" w:rsidRPr="006D38E7">
        <w:rPr>
          <w:rFonts w:ascii="Times New Roman" w:hAnsi="Times New Roman" w:cs="Times New Roman"/>
          <w:sz w:val="20"/>
          <w:szCs w:val="20"/>
        </w:rPr>
        <w:t xml:space="preserve">De acuerdo a la muestra temporal analizada, las participaciones de mercado </w:t>
      </w:r>
      <w:r w:rsidR="00E1686A" w:rsidRPr="006D38E7">
        <w:rPr>
          <w:rFonts w:ascii="Times New Roman" w:hAnsi="Times New Roman" w:cs="Times New Roman"/>
          <w:sz w:val="20"/>
          <w:szCs w:val="20"/>
        </w:rPr>
        <w:t xml:space="preserve">de los operadores </w:t>
      </w:r>
      <w:r w:rsidR="00752B36" w:rsidRPr="006D38E7">
        <w:rPr>
          <w:rFonts w:ascii="Times New Roman" w:hAnsi="Times New Roman" w:cs="Times New Roman"/>
          <w:sz w:val="20"/>
          <w:szCs w:val="20"/>
        </w:rPr>
        <w:t xml:space="preserve">no </w:t>
      </w:r>
      <w:r w:rsidR="0054799D" w:rsidRPr="006D38E7">
        <w:rPr>
          <w:rFonts w:ascii="Times New Roman" w:hAnsi="Times New Roman" w:cs="Times New Roman"/>
          <w:sz w:val="20"/>
          <w:szCs w:val="20"/>
        </w:rPr>
        <w:t xml:space="preserve">han respondido </w:t>
      </w:r>
      <w:r w:rsidR="001C7A89" w:rsidRPr="006D38E7">
        <w:rPr>
          <w:rFonts w:ascii="Times New Roman" w:hAnsi="Times New Roman" w:cs="Times New Roman"/>
          <w:sz w:val="20"/>
          <w:szCs w:val="20"/>
        </w:rPr>
        <w:t xml:space="preserve">de manera significativa </w:t>
      </w:r>
      <w:r w:rsidR="00752B36" w:rsidRPr="006D38E7">
        <w:rPr>
          <w:rFonts w:ascii="Times New Roman" w:hAnsi="Times New Roman" w:cs="Times New Roman"/>
          <w:sz w:val="20"/>
          <w:szCs w:val="20"/>
        </w:rPr>
        <w:t>a l</w:t>
      </w:r>
      <w:r w:rsidR="00D074D1" w:rsidRPr="006D38E7">
        <w:rPr>
          <w:rFonts w:ascii="Times New Roman" w:hAnsi="Times New Roman" w:cs="Times New Roman"/>
          <w:sz w:val="20"/>
          <w:szCs w:val="20"/>
        </w:rPr>
        <w:t>a aplicación de TTM asimétricas.</w:t>
      </w:r>
      <w:r w:rsidR="0054799D" w:rsidRPr="006D38E7">
        <w:rPr>
          <w:rFonts w:ascii="Times New Roman" w:hAnsi="Times New Roman" w:cs="Times New Roman"/>
          <w:sz w:val="20"/>
          <w:szCs w:val="20"/>
        </w:rPr>
        <w:t xml:space="preserve"> Por lo anterior, </w:t>
      </w:r>
      <w:r w:rsidR="00752B36" w:rsidRPr="006D38E7">
        <w:rPr>
          <w:rFonts w:ascii="Times New Roman" w:hAnsi="Times New Roman" w:cs="Times New Roman"/>
          <w:sz w:val="20"/>
          <w:szCs w:val="20"/>
        </w:rPr>
        <w:t>e</w:t>
      </w:r>
      <w:r w:rsidRPr="006D38E7">
        <w:rPr>
          <w:rFonts w:ascii="Times New Roman" w:hAnsi="Times New Roman" w:cs="Times New Roman"/>
          <w:sz w:val="20"/>
          <w:szCs w:val="20"/>
        </w:rPr>
        <w:t xml:space="preserve">n el periodo no se ha constatado una mejora significativa en la </w:t>
      </w:r>
      <w:r w:rsidR="00B70C78">
        <w:rPr>
          <w:rFonts w:ascii="Times New Roman" w:hAnsi="Times New Roman" w:cs="Times New Roman"/>
          <w:sz w:val="20"/>
          <w:szCs w:val="20"/>
        </w:rPr>
        <w:t>concentración d</w:t>
      </w:r>
      <w:r w:rsidRPr="006D38E7">
        <w:rPr>
          <w:rFonts w:ascii="Times New Roman" w:hAnsi="Times New Roman" w:cs="Times New Roman"/>
          <w:sz w:val="20"/>
          <w:szCs w:val="20"/>
        </w:rPr>
        <w:t>el mercado</w:t>
      </w:r>
      <w:r w:rsidR="00B70C78">
        <w:rPr>
          <w:rFonts w:ascii="Times New Roman" w:hAnsi="Times New Roman" w:cs="Times New Roman"/>
          <w:sz w:val="20"/>
          <w:szCs w:val="20"/>
        </w:rPr>
        <w:t xml:space="preserve"> </w:t>
      </w:r>
      <w:r w:rsidR="00B70C78" w:rsidRPr="006D38E7">
        <w:rPr>
          <w:rFonts w:ascii="Times New Roman" w:hAnsi="Times New Roman" w:cs="Times New Roman"/>
          <w:sz w:val="20"/>
          <w:szCs w:val="20"/>
        </w:rPr>
        <w:t>(IHH)</w:t>
      </w:r>
      <w:r w:rsidRPr="006D38E7">
        <w:rPr>
          <w:rFonts w:ascii="Times New Roman" w:hAnsi="Times New Roman" w:cs="Times New Roman"/>
          <w:sz w:val="20"/>
          <w:szCs w:val="20"/>
        </w:rPr>
        <w:t xml:space="preserve">, que pueda </w:t>
      </w:r>
      <w:r w:rsidR="00B70C78">
        <w:rPr>
          <w:rFonts w:ascii="Times New Roman" w:hAnsi="Times New Roman" w:cs="Times New Roman"/>
          <w:sz w:val="20"/>
          <w:szCs w:val="20"/>
        </w:rPr>
        <w:t>fortalecer a los entrantes y</w:t>
      </w:r>
      <w:r w:rsidR="001C7A89" w:rsidRPr="006D38E7">
        <w:rPr>
          <w:rFonts w:ascii="Times New Roman" w:hAnsi="Times New Roman" w:cs="Times New Roman"/>
          <w:sz w:val="20"/>
          <w:szCs w:val="20"/>
        </w:rPr>
        <w:t xml:space="preserve"> </w:t>
      </w:r>
      <w:r w:rsidRPr="006D38E7">
        <w:rPr>
          <w:rFonts w:ascii="Times New Roman" w:hAnsi="Times New Roman" w:cs="Times New Roman"/>
          <w:sz w:val="20"/>
          <w:szCs w:val="20"/>
        </w:rPr>
        <w:t xml:space="preserve">reducir de manera </w:t>
      </w:r>
      <w:r w:rsidR="00492F57" w:rsidRPr="006D38E7">
        <w:rPr>
          <w:rFonts w:ascii="Times New Roman" w:hAnsi="Times New Roman" w:cs="Times New Roman"/>
          <w:sz w:val="20"/>
          <w:szCs w:val="20"/>
        </w:rPr>
        <w:t xml:space="preserve">importante </w:t>
      </w:r>
      <w:r w:rsidRPr="006D38E7">
        <w:rPr>
          <w:rFonts w:ascii="Times New Roman" w:hAnsi="Times New Roman" w:cs="Times New Roman"/>
          <w:sz w:val="20"/>
          <w:szCs w:val="20"/>
        </w:rPr>
        <w:t>la participaci</w:t>
      </w:r>
      <w:r w:rsidR="001C7A89" w:rsidRPr="006D38E7">
        <w:rPr>
          <w:rFonts w:ascii="Times New Roman" w:hAnsi="Times New Roman" w:cs="Times New Roman"/>
          <w:sz w:val="20"/>
          <w:szCs w:val="20"/>
        </w:rPr>
        <w:t xml:space="preserve">ón del </w:t>
      </w:r>
      <w:r w:rsidR="000C0221" w:rsidRPr="006D38E7">
        <w:rPr>
          <w:rFonts w:ascii="Times New Roman" w:hAnsi="Times New Roman" w:cs="Times New Roman"/>
          <w:sz w:val="20"/>
          <w:szCs w:val="20"/>
        </w:rPr>
        <w:t>preponderante</w:t>
      </w:r>
      <w:r w:rsidRPr="006D38E7">
        <w:rPr>
          <w:rFonts w:ascii="Times New Roman" w:hAnsi="Times New Roman" w:cs="Times New Roman"/>
          <w:sz w:val="20"/>
          <w:szCs w:val="20"/>
        </w:rPr>
        <w:t>. Tampoco se ha motivado la entrada de nuevos oferentes, como resultado de esta medida en específico. Si bien recientemente se cuenta con AT&amp;T como nuevo provee</w:t>
      </w:r>
      <w:r w:rsidR="0054799D" w:rsidRPr="006D38E7">
        <w:rPr>
          <w:rFonts w:ascii="Times New Roman" w:hAnsi="Times New Roman" w:cs="Times New Roman"/>
          <w:sz w:val="20"/>
          <w:szCs w:val="20"/>
        </w:rPr>
        <w:t xml:space="preserve">dor en el mercado, su entrada como operador independiente </w:t>
      </w:r>
      <w:r w:rsidRPr="006D38E7">
        <w:rPr>
          <w:rFonts w:ascii="Times New Roman" w:hAnsi="Times New Roman" w:cs="Times New Roman"/>
          <w:sz w:val="20"/>
          <w:szCs w:val="20"/>
        </w:rPr>
        <w:t xml:space="preserve">es resultado de la reforma regulatoria en su conjunto. </w:t>
      </w:r>
      <w:r w:rsidR="00A561B3" w:rsidRPr="006D38E7">
        <w:rPr>
          <w:rFonts w:ascii="Times New Roman" w:hAnsi="Times New Roman" w:cs="Times New Roman"/>
          <w:sz w:val="20"/>
          <w:szCs w:val="20"/>
        </w:rPr>
        <w:t xml:space="preserve">Así también, </w:t>
      </w:r>
      <w:r w:rsidR="00492F57" w:rsidRPr="006D38E7">
        <w:rPr>
          <w:rFonts w:ascii="Times New Roman" w:hAnsi="Times New Roman" w:cs="Times New Roman"/>
          <w:sz w:val="20"/>
          <w:szCs w:val="20"/>
        </w:rPr>
        <w:t>se ha registrado la entrada de diversos</w:t>
      </w:r>
      <w:r w:rsidR="00A561B3" w:rsidRPr="006D38E7">
        <w:rPr>
          <w:rFonts w:ascii="Times New Roman" w:hAnsi="Times New Roman" w:cs="Times New Roman"/>
          <w:sz w:val="20"/>
          <w:szCs w:val="20"/>
        </w:rPr>
        <w:t xml:space="preserve"> operadores móviles virtuales, pero ello </w:t>
      </w:r>
      <w:r w:rsidR="0054799D" w:rsidRPr="006D38E7">
        <w:rPr>
          <w:rFonts w:ascii="Times New Roman" w:hAnsi="Times New Roman" w:cs="Times New Roman"/>
          <w:sz w:val="20"/>
          <w:szCs w:val="20"/>
        </w:rPr>
        <w:t xml:space="preserve">también </w:t>
      </w:r>
      <w:r w:rsidR="00A561B3" w:rsidRPr="006D38E7">
        <w:rPr>
          <w:rFonts w:ascii="Times New Roman" w:hAnsi="Times New Roman" w:cs="Times New Roman"/>
          <w:sz w:val="20"/>
          <w:szCs w:val="20"/>
        </w:rPr>
        <w:t>es consecuencia de toda la reforma regulatoria y no es posible atribuirla a la aplicación de esta disposición en particular.</w:t>
      </w:r>
      <w:r w:rsidR="001C7A89" w:rsidRPr="006D38E7">
        <w:rPr>
          <w:rFonts w:ascii="Times New Roman" w:hAnsi="Times New Roman" w:cs="Times New Roman"/>
          <w:sz w:val="20"/>
          <w:szCs w:val="20"/>
        </w:rPr>
        <w:t xml:space="preserve"> </w:t>
      </w:r>
    </w:p>
    <w:p w:rsidR="00492F57" w:rsidRPr="006D38E7" w:rsidRDefault="001C7A89" w:rsidP="00B71AE9">
      <w:pPr>
        <w:spacing w:after="120" w:line="240" w:lineRule="auto"/>
        <w:jc w:val="both"/>
        <w:rPr>
          <w:rFonts w:ascii="Times New Roman" w:hAnsi="Times New Roman" w:cs="Times New Roman"/>
          <w:sz w:val="20"/>
          <w:szCs w:val="20"/>
        </w:rPr>
      </w:pPr>
      <w:r w:rsidRPr="006D38E7">
        <w:rPr>
          <w:rFonts w:ascii="Times New Roman" w:hAnsi="Times New Roman" w:cs="Times New Roman"/>
          <w:sz w:val="20"/>
          <w:szCs w:val="20"/>
        </w:rPr>
        <w:t>En lo que respecta e</w:t>
      </w:r>
      <w:r w:rsidR="00492F57" w:rsidRPr="006D38E7">
        <w:rPr>
          <w:rFonts w:ascii="Times New Roman" w:hAnsi="Times New Roman" w:cs="Times New Roman"/>
          <w:sz w:val="20"/>
          <w:szCs w:val="20"/>
        </w:rPr>
        <w:t>l margen de los entrantes</w:t>
      </w:r>
      <w:r w:rsidR="00FD0179" w:rsidRPr="006D38E7">
        <w:rPr>
          <w:rFonts w:ascii="Times New Roman" w:hAnsi="Times New Roman" w:cs="Times New Roman"/>
          <w:sz w:val="20"/>
          <w:szCs w:val="20"/>
        </w:rPr>
        <w:t xml:space="preserve"> </w:t>
      </w:r>
      <w:r w:rsidRPr="006D38E7">
        <w:rPr>
          <w:rFonts w:ascii="Times New Roman" w:hAnsi="Times New Roman" w:cs="Times New Roman"/>
          <w:sz w:val="20"/>
          <w:szCs w:val="20"/>
        </w:rPr>
        <w:t xml:space="preserve">y del </w:t>
      </w:r>
      <w:r w:rsidR="000C0221" w:rsidRPr="006D38E7">
        <w:rPr>
          <w:rFonts w:ascii="Times New Roman" w:hAnsi="Times New Roman" w:cs="Times New Roman"/>
          <w:sz w:val="20"/>
          <w:szCs w:val="20"/>
        </w:rPr>
        <w:t>preponderante</w:t>
      </w:r>
      <w:r w:rsidRPr="006D38E7">
        <w:rPr>
          <w:rFonts w:ascii="Times New Roman" w:hAnsi="Times New Roman" w:cs="Times New Roman"/>
          <w:sz w:val="20"/>
          <w:szCs w:val="20"/>
        </w:rPr>
        <w:t xml:space="preserve">, no se constata un efecto sensible atribuible a la </w:t>
      </w:r>
      <w:r w:rsidR="00E1686A" w:rsidRPr="006D38E7">
        <w:rPr>
          <w:rFonts w:ascii="Times New Roman" w:hAnsi="Times New Roman" w:cs="Times New Roman"/>
          <w:sz w:val="20"/>
          <w:szCs w:val="20"/>
        </w:rPr>
        <w:t>regulación asimétrica</w:t>
      </w:r>
      <w:r w:rsidR="00FD0179" w:rsidRPr="006D38E7">
        <w:rPr>
          <w:rFonts w:ascii="Times New Roman" w:hAnsi="Times New Roman" w:cs="Times New Roman"/>
          <w:sz w:val="20"/>
          <w:szCs w:val="20"/>
        </w:rPr>
        <w:t xml:space="preserve">. </w:t>
      </w:r>
      <w:r w:rsidR="00B70C78">
        <w:rPr>
          <w:rFonts w:ascii="Times New Roman" w:hAnsi="Times New Roman" w:cs="Times New Roman"/>
          <w:sz w:val="20"/>
          <w:szCs w:val="20"/>
        </w:rPr>
        <w:t xml:space="preserve">La caída en el margen </w:t>
      </w:r>
      <w:proofErr w:type="spellStart"/>
      <w:r w:rsidR="00B70C78">
        <w:rPr>
          <w:rFonts w:ascii="Times New Roman" w:hAnsi="Times New Roman" w:cs="Times New Roman"/>
          <w:sz w:val="20"/>
          <w:szCs w:val="20"/>
        </w:rPr>
        <w:t>Ebitda</w:t>
      </w:r>
      <w:proofErr w:type="spellEnd"/>
      <w:r w:rsidR="00B70C78">
        <w:rPr>
          <w:rFonts w:ascii="Times New Roman" w:hAnsi="Times New Roman" w:cs="Times New Roman"/>
          <w:sz w:val="20"/>
          <w:szCs w:val="20"/>
        </w:rPr>
        <w:t xml:space="preserve"> de ambos grupos responde más bien, a la reducción en el nivel de las TTM.</w:t>
      </w:r>
    </w:p>
    <w:p w:rsidR="00492F57" w:rsidRPr="006D38E7" w:rsidRDefault="00752B36" w:rsidP="00B71AE9">
      <w:pPr>
        <w:widowControl w:val="0"/>
        <w:autoSpaceDE w:val="0"/>
        <w:autoSpaceDN w:val="0"/>
        <w:adjustRightInd w:val="0"/>
        <w:spacing w:after="120" w:line="240" w:lineRule="auto"/>
        <w:jc w:val="both"/>
        <w:rPr>
          <w:rFonts w:ascii="Times New Roman" w:hAnsi="Times New Roman" w:cs="Times New Roman"/>
          <w:sz w:val="20"/>
          <w:szCs w:val="20"/>
        </w:rPr>
      </w:pPr>
      <w:r w:rsidRPr="006D38E7">
        <w:rPr>
          <w:rFonts w:ascii="Times New Roman" w:hAnsi="Times New Roman" w:cs="Times New Roman"/>
          <w:sz w:val="20"/>
          <w:szCs w:val="20"/>
        </w:rPr>
        <w:t>Los resultados encontrados son consistentes en buena medida con la predic</w:t>
      </w:r>
      <w:r w:rsidR="00313F04" w:rsidRPr="006D38E7">
        <w:rPr>
          <w:rFonts w:ascii="Times New Roman" w:hAnsi="Times New Roman" w:cs="Times New Roman"/>
          <w:sz w:val="20"/>
          <w:szCs w:val="20"/>
        </w:rPr>
        <w:t xml:space="preserve">ción del modelo de </w:t>
      </w:r>
      <w:proofErr w:type="spellStart"/>
      <w:r w:rsidR="00313F04" w:rsidRPr="006D38E7">
        <w:rPr>
          <w:rFonts w:ascii="Times New Roman" w:hAnsi="Times New Roman" w:cs="Times New Roman"/>
          <w:sz w:val="20"/>
          <w:szCs w:val="20"/>
        </w:rPr>
        <w:t>Peitz</w:t>
      </w:r>
      <w:proofErr w:type="spellEnd"/>
      <w:r w:rsidR="00313F04" w:rsidRPr="006D38E7">
        <w:rPr>
          <w:rFonts w:ascii="Times New Roman" w:hAnsi="Times New Roman" w:cs="Times New Roman"/>
          <w:sz w:val="20"/>
          <w:szCs w:val="20"/>
        </w:rPr>
        <w:t xml:space="preserve"> (2005a</w:t>
      </w:r>
      <w:r w:rsidR="00B70C78">
        <w:rPr>
          <w:rFonts w:ascii="Times New Roman" w:hAnsi="Times New Roman" w:cs="Times New Roman"/>
          <w:sz w:val="20"/>
          <w:szCs w:val="20"/>
        </w:rPr>
        <w:t xml:space="preserve"> y </w:t>
      </w:r>
      <w:r w:rsidR="00313F04" w:rsidRPr="006D38E7">
        <w:rPr>
          <w:rFonts w:ascii="Times New Roman" w:hAnsi="Times New Roman" w:cs="Times New Roman"/>
          <w:sz w:val="20"/>
          <w:szCs w:val="20"/>
        </w:rPr>
        <w:t>b</w:t>
      </w:r>
      <w:r w:rsidR="001C7A89" w:rsidRPr="006D38E7">
        <w:rPr>
          <w:rFonts w:ascii="Times New Roman" w:hAnsi="Times New Roman" w:cs="Times New Roman"/>
          <w:sz w:val="20"/>
          <w:szCs w:val="20"/>
        </w:rPr>
        <w:t xml:space="preserve">), así también presentan alguna similitud con </w:t>
      </w:r>
      <w:r w:rsidRPr="006D38E7">
        <w:rPr>
          <w:rFonts w:ascii="Times New Roman" w:hAnsi="Times New Roman" w:cs="Times New Roman"/>
          <w:sz w:val="20"/>
          <w:szCs w:val="20"/>
        </w:rPr>
        <w:t xml:space="preserve">lo reportado por </w:t>
      </w:r>
      <w:proofErr w:type="spellStart"/>
      <w:r w:rsidRPr="006D38E7">
        <w:rPr>
          <w:rFonts w:ascii="Times New Roman" w:hAnsi="Times New Roman" w:cs="Times New Roman"/>
          <w:sz w:val="20"/>
          <w:szCs w:val="20"/>
        </w:rPr>
        <w:t>Baranes</w:t>
      </w:r>
      <w:proofErr w:type="spellEnd"/>
      <w:r w:rsidRPr="006D38E7">
        <w:rPr>
          <w:rFonts w:ascii="Times New Roman" w:hAnsi="Times New Roman" w:cs="Times New Roman"/>
          <w:sz w:val="20"/>
          <w:szCs w:val="20"/>
        </w:rPr>
        <w:t xml:space="preserve"> et al (2011</w:t>
      </w:r>
      <w:r w:rsidR="00B70C78">
        <w:rPr>
          <w:rFonts w:ascii="Times New Roman" w:hAnsi="Times New Roman" w:cs="Times New Roman"/>
          <w:sz w:val="20"/>
          <w:szCs w:val="20"/>
        </w:rPr>
        <w:t>b</w:t>
      </w:r>
      <w:r w:rsidRPr="006D38E7">
        <w:rPr>
          <w:rFonts w:ascii="Times New Roman" w:hAnsi="Times New Roman" w:cs="Times New Roman"/>
          <w:sz w:val="20"/>
          <w:szCs w:val="20"/>
        </w:rPr>
        <w:t xml:space="preserve">). </w:t>
      </w:r>
      <w:r w:rsidR="00492F57" w:rsidRPr="006D38E7">
        <w:rPr>
          <w:rFonts w:ascii="Times New Roman" w:hAnsi="Times New Roman" w:cs="Times New Roman"/>
          <w:sz w:val="20"/>
          <w:szCs w:val="20"/>
        </w:rPr>
        <w:t xml:space="preserve">Las diferencias encontradas pueden explicarse, dada la </w:t>
      </w:r>
      <w:r w:rsidR="00492F57" w:rsidRPr="006D38E7">
        <w:rPr>
          <w:rFonts w:ascii="Times New Roman" w:hAnsi="Times New Roman" w:cs="Times New Roman"/>
          <w:sz w:val="20"/>
          <w:szCs w:val="20"/>
        </w:rPr>
        <w:lastRenderedPageBreak/>
        <w:t xml:space="preserve">diferente aplicación de las TTM asimétricas en Europa, respecto de lo </w:t>
      </w:r>
      <w:r w:rsidR="00B70C78">
        <w:rPr>
          <w:rFonts w:ascii="Times New Roman" w:hAnsi="Times New Roman" w:cs="Times New Roman"/>
          <w:sz w:val="20"/>
          <w:szCs w:val="20"/>
        </w:rPr>
        <w:t>realizado</w:t>
      </w:r>
      <w:r w:rsidR="00492F57" w:rsidRPr="006D38E7">
        <w:rPr>
          <w:rFonts w:ascii="Times New Roman" w:hAnsi="Times New Roman" w:cs="Times New Roman"/>
          <w:sz w:val="20"/>
          <w:szCs w:val="20"/>
        </w:rPr>
        <w:t xml:space="preserve"> en México</w:t>
      </w:r>
      <w:r w:rsidR="001C7A89" w:rsidRPr="006D38E7">
        <w:rPr>
          <w:rFonts w:ascii="Times New Roman" w:hAnsi="Times New Roman" w:cs="Times New Roman"/>
          <w:sz w:val="20"/>
          <w:szCs w:val="20"/>
        </w:rPr>
        <w:t>, entre otros factores</w:t>
      </w:r>
      <w:r w:rsidR="007B2445" w:rsidRPr="006D38E7">
        <w:rPr>
          <w:rFonts w:ascii="Times New Roman" w:hAnsi="Times New Roman" w:cs="Times New Roman"/>
          <w:sz w:val="20"/>
          <w:szCs w:val="20"/>
        </w:rPr>
        <w:t>.</w:t>
      </w:r>
      <w:r w:rsidR="007B2445" w:rsidRPr="006D38E7">
        <w:rPr>
          <w:rStyle w:val="Refdenotaalpie"/>
          <w:rFonts w:ascii="Times New Roman" w:hAnsi="Times New Roman" w:cs="Times New Roman"/>
          <w:sz w:val="20"/>
          <w:szCs w:val="20"/>
        </w:rPr>
        <w:footnoteReference w:id="26"/>
      </w:r>
      <w:r w:rsidR="00492F57" w:rsidRPr="006D38E7">
        <w:rPr>
          <w:rFonts w:ascii="Times New Roman" w:hAnsi="Times New Roman" w:cs="Times New Roman"/>
          <w:sz w:val="20"/>
          <w:szCs w:val="20"/>
        </w:rPr>
        <w:t xml:space="preserve"> </w:t>
      </w:r>
    </w:p>
    <w:p w:rsidR="00752B36" w:rsidRPr="006D38E7" w:rsidRDefault="00752B36" w:rsidP="00B71AE9">
      <w:pPr>
        <w:spacing w:after="120" w:line="240" w:lineRule="auto"/>
        <w:jc w:val="both"/>
        <w:rPr>
          <w:rFonts w:ascii="Times New Roman" w:hAnsi="Times New Roman" w:cs="Times New Roman"/>
          <w:sz w:val="20"/>
          <w:szCs w:val="20"/>
        </w:rPr>
      </w:pPr>
      <w:r w:rsidRPr="006D38E7">
        <w:rPr>
          <w:rFonts w:ascii="Times New Roman" w:hAnsi="Times New Roman" w:cs="Times New Roman"/>
          <w:sz w:val="20"/>
          <w:szCs w:val="20"/>
        </w:rPr>
        <w:t>Sin embargo</w:t>
      </w:r>
      <w:r w:rsidR="001C7A89" w:rsidRPr="006D38E7">
        <w:rPr>
          <w:rFonts w:ascii="Times New Roman" w:hAnsi="Times New Roman" w:cs="Times New Roman"/>
          <w:sz w:val="20"/>
          <w:szCs w:val="20"/>
        </w:rPr>
        <w:t>, los resultados</w:t>
      </w:r>
      <w:r w:rsidRPr="006D38E7">
        <w:rPr>
          <w:rFonts w:ascii="Times New Roman" w:hAnsi="Times New Roman" w:cs="Times New Roman"/>
          <w:sz w:val="20"/>
          <w:szCs w:val="20"/>
        </w:rPr>
        <w:t xml:space="preserve"> presentan limitantes derivadas de las restricciones en la información y la relativa brevedad del periodo de aplicación de la regulación asim</w:t>
      </w:r>
      <w:r w:rsidR="00832DC6" w:rsidRPr="006D38E7">
        <w:rPr>
          <w:rFonts w:ascii="Times New Roman" w:hAnsi="Times New Roman" w:cs="Times New Roman"/>
          <w:sz w:val="20"/>
          <w:szCs w:val="20"/>
        </w:rPr>
        <w:t>étrica. Por lo anterior, deberán rea</w:t>
      </w:r>
      <w:r w:rsidR="0054799D" w:rsidRPr="006D38E7">
        <w:rPr>
          <w:rFonts w:ascii="Times New Roman" w:hAnsi="Times New Roman" w:cs="Times New Roman"/>
          <w:sz w:val="20"/>
          <w:szCs w:val="20"/>
        </w:rPr>
        <w:t>lizarse estimaciones más adelante</w:t>
      </w:r>
      <w:r w:rsidR="00832DC6" w:rsidRPr="006D38E7">
        <w:rPr>
          <w:rFonts w:ascii="Times New Roman" w:hAnsi="Times New Roman" w:cs="Times New Roman"/>
          <w:sz w:val="20"/>
          <w:szCs w:val="20"/>
        </w:rPr>
        <w:t xml:space="preserve">, con un horizonte de evaluación de más periodos. </w:t>
      </w:r>
    </w:p>
    <w:p w:rsidR="00647DCD" w:rsidRPr="006D38E7" w:rsidRDefault="00647DCD" w:rsidP="00B71AE9">
      <w:pPr>
        <w:spacing w:after="120" w:line="240" w:lineRule="auto"/>
        <w:jc w:val="both"/>
        <w:rPr>
          <w:rFonts w:ascii="Times New Roman" w:hAnsi="Times New Roman" w:cs="Times New Roman"/>
          <w:sz w:val="20"/>
          <w:szCs w:val="20"/>
        </w:rPr>
      </w:pPr>
      <w:r w:rsidRPr="006D38E7">
        <w:rPr>
          <w:rFonts w:ascii="Times New Roman" w:hAnsi="Times New Roman" w:cs="Times New Roman"/>
          <w:sz w:val="20"/>
          <w:szCs w:val="20"/>
        </w:rPr>
        <w:t xml:space="preserve">La aplicación asimétrica de TTM debe acotarse a un periodo en el tiempo, por lo que no es conveniente prolongarla indefinidamente. </w:t>
      </w:r>
    </w:p>
    <w:p w:rsidR="006D38E7" w:rsidRDefault="006D38E7" w:rsidP="006D38E7">
      <w:pPr>
        <w:rPr>
          <w:rFonts w:ascii="Times New Roman" w:hAnsi="Times New Roman" w:cs="Times New Roman"/>
          <w:sz w:val="20"/>
          <w:szCs w:val="20"/>
        </w:rPr>
      </w:pPr>
    </w:p>
    <w:p w:rsidR="006D38E7" w:rsidRPr="00613B69" w:rsidRDefault="006D38E7" w:rsidP="006D38E7">
      <w:pPr>
        <w:rPr>
          <w:rFonts w:ascii="Arial" w:hAnsi="Arial" w:cs="Arial"/>
          <w:b/>
          <w:caps/>
          <w:sz w:val="18"/>
          <w:szCs w:val="18"/>
        </w:rPr>
      </w:pPr>
      <w:r w:rsidRPr="00613B69">
        <w:rPr>
          <w:rFonts w:ascii="Arial" w:hAnsi="Arial" w:cs="Arial"/>
          <w:b/>
          <w:caps/>
          <w:sz w:val="18"/>
          <w:szCs w:val="18"/>
        </w:rPr>
        <w:t>Referencias</w:t>
      </w:r>
    </w:p>
    <w:p w:rsidR="00502954" w:rsidRPr="006D38E7" w:rsidRDefault="00AC7F5D" w:rsidP="006D38E7">
      <w:pPr>
        <w:pStyle w:val="Prrafodelista"/>
        <w:numPr>
          <w:ilvl w:val="0"/>
          <w:numId w:val="41"/>
        </w:numPr>
        <w:autoSpaceDE w:val="0"/>
        <w:autoSpaceDN w:val="0"/>
        <w:adjustRightInd w:val="0"/>
        <w:spacing w:after="80" w:line="240" w:lineRule="auto"/>
        <w:ind w:left="193" w:hanging="193"/>
        <w:jc w:val="both"/>
        <w:rPr>
          <w:rFonts w:ascii="Times New Roman" w:hAnsi="Times New Roman" w:cs="Times New Roman"/>
          <w:sz w:val="20"/>
          <w:szCs w:val="20"/>
          <w:lang w:val="en-US"/>
        </w:rPr>
      </w:pPr>
      <w:r w:rsidRPr="006D38E7">
        <w:rPr>
          <w:rFonts w:ascii="Times New Roman" w:hAnsi="Times New Roman" w:cs="Times New Roman"/>
          <w:sz w:val="20"/>
          <w:szCs w:val="20"/>
          <w:lang w:val="en-US"/>
        </w:rPr>
        <w:t xml:space="preserve">Anderson, K. y </w:t>
      </w:r>
      <w:r w:rsidR="00502954" w:rsidRPr="006D38E7">
        <w:rPr>
          <w:rFonts w:ascii="Times New Roman" w:hAnsi="Times New Roman" w:cs="Times New Roman"/>
          <w:sz w:val="20"/>
          <w:szCs w:val="20"/>
          <w:lang w:val="en-US"/>
        </w:rPr>
        <w:t xml:space="preserve">Hansen, </w:t>
      </w:r>
      <w:proofErr w:type="gramStart"/>
      <w:r w:rsidR="00502954" w:rsidRPr="006D38E7">
        <w:rPr>
          <w:rFonts w:ascii="Times New Roman" w:hAnsi="Times New Roman" w:cs="Times New Roman"/>
          <w:sz w:val="20"/>
          <w:szCs w:val="20"/>
          <w:lang w:val="en-US"/>
        </w:rPr>
        <w:t>B</w:t>
      </w:r>
      <w:proofErr w:type="gramEnd"/>
      <w:r w:rsidR="00502954" w:rsidRPr="006D38E7">
        <w:rPr>
          <w:rFonts w:ascii="Times New Roman" w:hAnsi="Times New Roman" w:cs="Times New Roman"/>
          <w:sz w:val="20"/>
          <w:szCs w:val="20"/>
          <w:lang w:val="en-US"/>
        </w:rPr>
        <w:t>: Network Competition: Empirical Evidence on Mobile Termination Charges and Profitability, Working paper, 2007.</w:t>
      </w:r>
    </w:p>
    <w:p w:rsidR="00502954" w:rsidRPr="006D38E7" w:rsidRDefault="00BA3337" w:rsidP="006D38E7">
      <w:pPr>
        <w:pStyle w:val="Prrafodelista"/>
        <w:numPr>
          <w:ilvl w:val="0"/>
          <w:numId w:val="41"/>
        </w:numPr>
        <w:spacing w:after="80" w:line="240" w:lineRule="auto"/>
        <w:ind w:left="193" w:hanging="193"/>
        <w:jc w:val="both"/>
        <w:rPr>
          <w:rFonts w:ascii="Times New Roman" w:hAnsi="Times New Roman" w:cs="Times New Roman"/>
          <w:color w:val="000000"/>
          <w:sz w:val="20"/>
          <w:szCs w:val="20"/>
          <w:lang w:val="en-US"/>
        </w:rPr>
      </w:pPr>
      <w:proofErr w:type="spellStart"/>
      <w:r w:rsidRPr="006D38E7">
        <w:rPr>
          <w:rFonts w:ascii="Times New Roman" w:hAnsi="Times New Roman" w:cs="Times New Roman"/>
          <w:sz w:val="20"/>
          <w:szCs w:val="20"/>
          <w:lang w:val="en-US"/>
        </w:rPr>
        <w:t>Baranes</w:t>
      </w:r>
      <w:proofErr w:type="spellEnd"/>
      <w:r w:rsidRPr="006D38E7">
        <w:rPr>
          <w:rFonts w:ascii="Times New Roman" w:hAnsi="Times New Roman" w:cs="Times New Roman"/>
          <w:sz w:val="20"/>
          <w:szCs w:val="20"/>
          <w:lang w:val="en-US"/>
        </w:rPr>
        <w:t xml:space="preserve">, Edmond y </w:t>
      </w:r>
      <w:proofErr w:type="spellStart"/>
      <w:r w:rsidRPr="006D38E7">
        <w:rPr>
          <w:rFonts w:ascii="Times New Roman" w:hAnsi="Times New Roman" w:cs="Times New Roman"/>
          <w:bCs/>
          <w:color w:val="000000"/>
          <w:sz w:val="20"/>
          <w:szCs w:val="20"/>
          <w:lang w:val="en-US"/>
        </w:rPr>
        <w:t>Cuong</w:t>
      </w:r>
      <w:proofErr w:type="spellEnd"/>
      <w:r w:rsidR="00502954" w:rsidRPr="006D38E7">
        <w:rPr>
          <w:rFonts w:ascii="Times New Roman" w:hAnsi="Times New Roman" w:cs="Times New Roman"/>
          <w:bCs/>
          <w:color w:val="000000"/>
          <w:sz w:val="20"/>
          <w:szCs w:val="20"/>
          <w:lang w:val="en-US"/>
        </w:rPr>
        <w:t>,</w:t>
      </w:r>
      <w:r w:rsidRPr="006D38E7">
        <w:rPr>
          <w:rFonts w:ascii="Times New Roman" w:hAnsi="Times New Roman" w:cs="Times New Roman"/>
          <w:bCs/>
          <w:color w:val="000000"/>
          <w:sz w:val="20"/>
          <w:szCs w:val="20"/>
          <w:lang w:val="en-US"/>
        </w:rPr>
        <w:t xml:space="preserve"> Hung </w:t>
      </w:r>
      <w:proofErr w:type="spellStart"/>
      <w:r w:rsidRPr="006D38E7">
        <w:rPr>
          <w:rFonts w:ascii="Times New Roman" w:hAnsi="Times New Roman" w:cs="Times New Roman"/>
          <w:bCs/>
          <w:color w:val="000000"/>
          <w:sz w:val="20"/>
          <w:szCs w:val="20"/>
          <w:lang w:val="en-US"/>
        </w:rPr>
        <w:t>Vuong</w:t>
      </w:r>
      <w:proofErr w:type="spellEnd"/>
      <w:r w:rsidRPr="006D38E7">
        <w:rPr>
          <w:rFonts w:ascii="Times New Roman" w:hAnsi="Times New Roman" w:cs="Times New Roman"/>
          <w:bCs/>
          <w:color w:val="000000"/>
          <w:sz w:val="20"/>
          <w:szCs w:val="20"/>
          <w:lang w:val="en-US"/>
        </w:rPr>
        <w:t>. (2011</w:t>
      </w:r>
      <w:r w:rsidR="00B71AE9" w:rsidRPr="006D38E7">
        <w:rPr>
          <w:rFonts w:ascii="Times New Roman" w:hAnsi="Times New Roman" w:cs="Times New Roman"/>
          <w:bCs/>
          <w:color w:val="000000"/>
          <w:sz w:val="20"/>
          <w:szCs w:val="20"/>
          <w:lang w:val="en-US"/>
        </w:rPr>
        <w:t>a</w:t>
      </w:r>
      <w:r w:rsidRPr="006D38E7">
        <w:rPr>
          <w:rFonts w:ascii="Times New Roman" w:hAnsi="Times New Roman" w:cs="Times New Roman"/>
          <w:bCs/>
          <w:color w:val="000000"/>
          <w:sz w:val="20"/>
          <w:szCs w:val="20"/>
          <w:lang w:val="en-US"/>
        </w:rPr>
        <w:t>) Ex-Ante Asymmetric Regulation and Retail Market Competition: Evidenc</w:t>
      </w:r>
      <w:r w:rsidR="00D21F76" w:rsidRPr="006D38E7">
        <w:rPr>
          <w:rFonts w:ascii="Times New Roman" w:hAnsi="Times New Roman" w:cs="Times New Roman"/>
          <w:bCs/>
          <w:color w:val="000000"/>
          <w:sz w:val="20"/>
          <w:szCs w:val="20"/>
          <w:lang w:val="en-US"/>
        </w:rPr>
        <w:t>e from Europe’s Mobile Industry</w:t>
      </w:r>
      <w:r w:rsidRPr="006D38E7">
        <w:rPr>
          <w:rFonts w:ascii="Times New Roman" w:hAnsi="Times New Roman" w:cs="Times New Roman"/>
          <w:bCs/>
          <w:color w:val="000000"/>
          <w:sz w:val="20"/>
          <w:szCs w:val="20"/>
          <w:lang w:val="en-US"/>
        </w:rPr>
        <w:t xml:space="preserve">. </w:t>
      </w:r>
      <w:r w:rsidR="0033557C" w:rsidRPr="006D38E7">
        <w:rPr>
          <w:rFonts w:ascii="Times New Roman" w:hAnsi="Times New Roman" w:cs="Times New Roman"/>
          <w:iCs/>
          <w:color w:val="000000"/>
          <w:sz w:val="20"/>
          <w:szCs w:val="20"/>
          <w:lang w:val="en-US"/>
        </w:rPr>
        <w:t>Technology and Investment</w:t>
      </w:r>
      <w:r w:rsidR="0033557C" w:rsidRPr="006D38E7">
        <w:rPr>
          <w:rFonts w:ascii="Times New Roman" w:hAnsi="Times New Roman" w:cs="Times New Roman"/>
          <w:color w:val="000000"/>
          <w:sz w:val="20"/>
          <w:szCs w:val="20"/>
          <w:lang w:val="en-US"/>
        </w:rPr>
        <w:t>, Vol. 2 No. 4, 2011, pp. 301-310.</w:t>
      </w:r>
    </w:p>
    <w:p w:rsidR="0033557C" w:rsidRPr="006D38E7" w:rsidRDefault="00BA3337" w:rsidP="006D38E7">
      <w:pPr>
        <w:pStyle w:val="Prrafodelista"/>
        <w:numPr>
          <w:ilvl w:val="0"/>
          <w:numId w:val="41"/>
        </w:numPr>
        <w:spacing w:after="80" w:line="240" w:lineRule="auto"/>
        <w:ind w:left="193" w:hanging="193"/>
        <w:jc w:val="both"/>
        <w:rPr>
          <w:rFonts w:ascii="Times New Roman" w:hAnsi="Times New Roman" w:cs="Times New Roman"/>
          <w:color w:val="000000" w:themeColor="text1"/>
          <w:sz w:val="20"/>
          <w:szCs w:val="20"/>
          <w:lang w:val="en-US"/>
        </w:rPr>
      </w:pPr>
      <w:proofErr w:type="spellStart"/>
      <w:r w:rsidRPr="006D38E7">
        <w:rPr>
          <w:rFonts w:ascii="Times New Roman" w:hAnsi="Times New Roman" w:cs="Times New Roman"/>
          <w:sz w:val="20"/>
          <w:szCs w:val="20"/>
          <w:lang w:val="en-US"/>
        </w:rPr>
        <w:t>Baranes</w:t>
      </w:r>
      <w:proofErr w:type="spellEnd"/>
      <w:r w:rsidRPr="006D38E7">
        <w:rPr>
          <w:rFonts w:ascii="Times New Roman" w:hAnsi="Times New Roman" w:cs="Times New Roman"/>
          <w:sz w:val="20"/>
          <w:szCs w:val="20"/>
          <w:lang w:val="en-US"/>
        </w:rPr>
        <w:t xml:space="preserve">, </w:t>
      </w:r>
      <w:proofErr w:type="spellStart"/>
      <w:r w:rsidRPr="006D38E7">
        <w:rPr>
          <w:rFonts w:ascii="Times New Roman" w:hAnsi="Times New Roman" w:cs="Times New Roman"/>
          <w:sz w:val="20"/>
          <w:szCs w:val="20"/>
          <w:lang w:val="en-US"/>
        </w:rPr>
        <w:t>Edmon</w:t>
      </w:r>
      <w:proofErr w:type="spellEnd"/>
      <w:r w:rsidRPr="006D38E7">
        <w:rPr>
          <w:rFonts w:ascii="Times New Roman" w:hAnsi="Times New Roman" w:cs="Times New Roman"/>
          <w:sz w:val="20"/>
          <w:szCs w:val="20"/>
          <w:lang w:val="en-US"/>
        </w:rPr>
        <w:t xml:space="preserve">, </w:t>
      </w:r>
      <w:proofErr w:type="spellStart"/>
      <w:r w:rsidRPr="006D38E7">
        <w:rPr>
          <w:rFonts w:ascii="Times New Roman" w:hAnsi="Times New Roman" w:cs="Times New Roman"/>
          <w:sz w:val="20"/>
          <w:szCs w:val="20"/>
          <w:lang w:val="en-US"/>
        </w:rPr>
        <w:t>Benzoni</w:t>
      </w:r>
      <w:proofErr w:type="spellEnd"/>
      <w:r w:rsidRPr="006D38E7">
        <w:rPr>
          <w:rFonts w:ascii="Times New Roman" w:hAnsi="Times New Roman" w:cs="Times New Roman"/>
          <w:sz w:val="20"/>
          <w:szCs w:val="20"/>
          <w:lang w:val="en-US"/>
        </w:rPr>
        <w:t xml:space="preserve">, Laurent y Hung </w:t>
      </w:r>
      <w:proofErr w:type="spellStart"/>
      <w:r w:rsidRPr="006D38E7">
        <w:rPr>
          <w:rFonts w:ascii="Times New Roman" w:hAnsi="Times New Roman" w:cs="Times New Roman"/>
          <w:sz w:val="20"/>
          <w:szCs w:val="20"/>
          <w:lang w:val="en-US"/>
        </w:rPr>
        <w:t>Vuong</w:t>
      </w:r>
      <w:proofErr w:type="spellEnd"/>
      <w:r w:rsidRPr="006D38E7">
        <w:rPr>
          <w:rFonts w:ascii="Times New Roman" w:hAnsi="Times New Roman" w:cs="Times New Roman"/>
          <w:sz w:val="20"/>
          <w:szCs w:val="20"/>
          <w:lang w:val="en-US"/>
        </w:rPr>
        <w:t xml:space="preserve">, </w:t>
      </w:r>
      <w:proofErr w:type="spellStart"/>
      <w:r w:rsidRPr="006D38E7">
        <w:rPr>
          <w:rFonts w:ascii="Times New Roman" w:hAnsi="Times New Roman" w:cs="Times New Roman"/>
          <w:sz w:val="20"/>
          <w:szCs w:val="20"/>
          <w:lang w:val="en-US"/>
        </w:rPr>
        <w:t>Cuong</w:t>
      </w:r>
      <w:proofErr w:type="spellEnd"/>
      <w:r w:rsidRPr="006D38E7">
        <w:rPr>
          <w:rFonts w:ascii="Times New Roman" w:hAnsi="Times New Roman" w:cs="Times New Roman"/>
          <w:sz w:val="20"/>
          <w:szCs w:val="20"/>
          <w:lang w:val="en-US"/>
        </w:rPr>
        <w:t>. (2011b)</w:t>
      </w:r>
      <w:r w:rsidR="008D50C1" w:rsidRPr="006D38E7">
        <w:rPr>
          <w:rFonts w:ascii="Times New Roman" w:hAnsi="Times New Roman" w:cs="Times New Roman"/>
          <w:sz w:val="20"/>
          <w:szCs w:val="20"/>
          <w:lang w:val="en-US"/>
        </w:rPr>
        <w:t>.</w:t>
      </w:r>
      <w:r w:rsidRPr="006D38E7">
        <w:rPr>
          <w:rFonts w:ascii="Times New Roman" w:hAnsi="Times New Roman" w:cs="Times New Roman"/>
          <w:sz w:val="20"/>
          <w:szCs w:val="20"/>
          <w:lang w:val="en-US"/>
        </w:rPr>
        <w:t xml:space="preserve"> How does European Termination Rate Regulation Impact Mobile Operator Performance? </w:t>
      </w:r>
      <w:proofErr w:type="spellStart"/>
      <w:r w:rsidR="00FC18CE" w:rsidRPr="006D38E7">
        <w:rPr>
          <w:rFonts w:ascii="Times New Roman" w:hAnsi="Times New Roman" w:cs="Times New Roman"/>
          <w:sz w:val="20"/>
          <w:szCs w:val="20"/>
          <w:lang w:val="en-US"/>
        </w:rPr>
        <w:t>Intereconomics</w:t>
      </w:r>
      <w:proofErr w:type="spellEnd"/>
      <w:r w:rsidR="0033557C" w:rsidRPr="006D38E7">
        <w:rPr>
          <w:rFonts w:ascii="Times New Roman" w:hAnsi="Times New Roman" w:cs="Times New Roman"/>
          <w:sz w:val="20"/>
          <w:szCs w:val="20"/>
          <w:lang w:val="en-US"/>
        </w:rPr>
        <w:t xml:space="preserve">, Volume 46, </w:t>
      </w:r>
      <w:hyperlink r:id="rId17" w:history="1">
        <w:r w:rsidR="0033557C" w:rsidRPr="006D38E7">
          <w:rPr>
            <w:rStyle w:val="Hipervnculo"/>
            <w:rFonts w:ascii="Times New Roman" w:hAnsi="Times New Roman" w:cs="Times New Roman"/>
            <w:color w:val="000000" w:themeColor="text1"/>
            <w:sz w:val="20"/>
            <w:szCs w:val="20"/>
            <w:lang w:val="en-US"/>
          </w:rPr>
          <w:t>Issue 6</w:t>
        </w:r>
      </w:hyperlink>
      <w:r w:rsidR="0033557C" w:rsidRPr="006D38E7">
        <w:rPr>
          <w:rFonts w:ascii="Times New Roman" w:hAnsi="Times New Roman" w:cs="Times New Roman"/>
          <w:color w:val="000000" w:themeColor="text1"/>
          <w:sz w:val="20"/>
          <w:szCs w:val="20"/>
          <w:lang w:val="en-US"/>
        </w:rPr>
        <w:t>, pp 346-353.</w:t>
      </w:r>
    </w:p>
    <w:p w:rsidR="00A04889" w:rsidRPr="006D38E7" w:rsidRDefault="00A04889" w:rsidP="006D38E7">
      <w:pPr>
        <w:pStyle w:val="Prrafodelista"/>
        <w:numPr>
          <w:ilvl w:val="0"/>
          <w:numId w:val="41"/>
        </w:numPr>
        <w:autoSpaceDE w:val="0"/>
        <w:autoSpaceDN w:val="0"/>
        <w:adjustRightInd w:val="0"/>
        <w:spacing w:after="80" w:line="240" w:lineRule="auto"/>
        <w:ind w:left="193" w:hanging="193"/>
        <w:jc w:val="both"/>
        <w:rPr>
          <w:rFonts w:ascii="Times New Roman" w:hAnsi="Times New Roman" w:cs="Times New Roman"/>
          <w:sz w:val="20"/>
          <w:szCs w:val="20"/>
          <w:lang w:val="en-US"/>
        </w:rPr>
      </w:pPr>
      <w:r w:rsidRPr="006D38E7">
        <w:rPr>
          <w:rFonts w:ascii="Times New Roman" w:hAnsi="Times New Roman" w:cs="Times New Roman"/>
          <w:sz w:val="20"/>
          <w:szCs w:val="20"/>
          <w:lang w:val="en-US"/>
        </w:rPr>
        <w:t>Chou,</w:t>
      </w:r>
      <w:r w:rsidR="00502954" w:rsidRPr="006D38E7">
        <w:rPr>
          <w:rFonts w:ascii="Times New Roman" w:hAnsi="Times New Roman" w:cs="Times New Roman"/>
          <w:sz w:val="20"/>
          <w:szCs w:val="20"/>
          <w:lang w:val="en-US"/>
        </w:rPr>
        <w:t xml:space="preserve"> Y. y</w:t>
      </w:r>
      <w:r w:rsidRPr="006D38E7">
        <w:rPr>
          <w:rFonts w:ascii="Times New Roman" w:hAnsi="Times New Roman" w:cs="Times New Roman"/>
          <w:sz w:val="20"/>
          <w:szCs w:val="20"/>
          <w:lang w:val="en-US"/>
        </w:rPr>
        <w:t xml:space="preserve"> Liu</w:t>
      </w:r>
      <w:r w:rsidR="00502954" w:rsidRPr="006D38E7">
        <w:rPr>
          <w:rFonts w:ascii="Times New Roman" w:hAnsi="Times New Roman" w:cs="Times New Roman"/>
          <w:sz w:val="20"/>
          <w:szCs w:val="20"/>
          <w:lang w:val="en-US"/>
        </w:rPr>
        <w:t>, K.</w:t>
      </w:r>
      <w:r w:rsidRPr="006D38E7">
        <w:rPr>
          <w:rFonts w:ascii="Times New Roman" w:hAnsi="Times New Roman" w:cs="Times New Roman"/>
          <w:sz w:val="20"/>
          <w:szCs w:val="20"/>
          <w:lang w:val="en-US"/>
        </w:rPr>
        <w:t>: Paradoxical Impact of Asymmetric Regulation in Taiwan’s Telecommunications Industry: Restriction and Rent Seeking, in: Telecommunications Policy, Vol. 30, 2006, pp. 171-182</w:t>
      </w:r>
      <w:r w:rsidR="00502954" w:rsidRPr="006D38E7">
        <w:rPr>
          <w:rFonts w:ascii="Times New Roman" w:hAnsi="Times New Roman" w:cs="Times New Roman"/>
          <w:sz w:val="20"/>
          <w:szCs w:val="20"/>
          <w:lang w:val="en-US"/>
        </w:rPr>
        <w:t>.</w:t>
      </w:r>
    </w:p>
    <w:p w:rsidR="00502954" w:rsidRPr="006D38E7" w:rsidRDefault="00502954" w:rsidP="006D38E7">
      <w:pPr>
        <w:pStyle w:val="Prrafodelista"/>
        <w:numPr>
          <w:ilvl w:val="0"/>
          <w:numId w:val="41"/>
        </w:numPr>
        <w:autoSpaceDE w:val="0"/>
        <w:autoSpaceDN w:val="0"/>
        <w:adjustRightInd w:val="0"/>
        <w:spacing w:after="80" w:line="240" w:lineRule="auto"/>
        <w:ind w:left="193" w:hanging="193"/>
        <w:rPr>
          <w:rFonts w:ascii="Times New Roman" w:hAnsi="Times New Roman" w:cs="Times New Roman"/>
          <w:sz w:val="20"/>
          <w:szCs w:val="20"/>
          <w:lang w:val="en-US"/>
        </w:rPr>
      </w:pPr>
      <w:r w:rsidRPr="006D38E7">
        <w:rPr>
          <w:rFonts w:ascii="Times New Roman" w:hAnsi="Times New Roman" w:cs="Times New Roman"/>
          <w:sz w:val="20"/>
          <w:szCs w:val="20"/>
          <w:lang w:val="en-US"/>
        </w:rPr>
        <w:t xml:space="preserve">Crandall, R., </w:t>
      </w:r>
      <w:proofErr w:type="spellStart"/>
      <w:r w:rsidRPr="006D38E7">
        <w:rPr>
          <w:rFonts w:ascii="Times New Roman" w:hAnsi="Times New Roman" w:cs="Times New Roman"/>
          <w:sz w:val="20"/>
          <w:szCs w:val="20"/>
          <w:lang w:val="en-US"/>
        </w:rPr>
        <w:t>Sidak</w:t>
      </w:r>
      <w:proofErr w:type="spellEnd"/>
      <w:r w:rsidRPr="006D38E7">
        <w:rPr>
          <w:rFonts w:ascii="Times New Roman" w:hAnsi="Times New Roman" w:cs="Times New Roman"/>
          <w:sz w:val="20"/>
          <w:szCs w:val="20"/>
          <w:lang w:val="en-US"/>
        </w:rPr>
        <w:t xml:space="preserve">, J., Singer, H.: The Empirical Case </w:t>
      </w:r>
      <w:proofErr w:type="gramStart"/>
      <w:r w:rsidRPr="006D38E7">
        <w:rPr>
          <w:rFonts w:ascii="Times New Roman" w:hAnsi="Times New Roman" w:cs="Times New Roman"/>
          <w:sz w:val="20"/>
          <w:szCs w:val="20"/>
          <w:lang w:val="en-US"/>
        </w:rPr>
        <w:t>Against</w:t>
      </w:r>
      <w:proofErr w:type="gramEnd"/>
      <w:r w:rsidRPr="006D38E7">
        <w:rPr>
          <w:rFonts w:ascii="Times New Roman" w:hAnsi="Times New Roman" w:cs="Times New Roman"/>
          <w:sz w:val="20"/>
          <w:szCs w:val="20"/>
          <w:lang w:val="en-US"/>
        </w:rPr>
        <w:t xml:space="preserve"> Asymmetric Regulation of Broadband Internet Access, in: Berkeley Technology Law Journal, Vol. 17, No. 3, 2002, pp. 953-987.</w:t>
      </w:r>
    </w:p>
    <w:p w:rsidR="00BA3337" w:rsidRPr="006D38E7" w:rsidRDefault="00BA3337" w:rsidP="006D38E7">
      <w:pPr>
        <w:pStyle w:val="Prrafodelista"/>
        <w:numPr>
          <w:ilvl w:val="0"/>
          <w:numId w:val="41"/>
        </w:numPr>
        <w:spacing w:after="80" w:line="240" w:lineRule="auto"/>
        <w:ind w:left="193" w:hanging="193"/>
        <w:jc w:val="both"/>
        <w:rPr>
          <w:rFonts w:ascii="Times New Roman" w:hAnsi="Times New Roman" w:cs="Times New Roman"/>
          <w:bCs/>
          <w:color w:val="000000" w:themeColor="text1"/>
          <w:sz w:val="20"/>
          <w:szCs w:val="20"/>
        </w:rPr>
      </w:pPr>
      <w:r w:rsidRPr="006D38E7">
        <w:rPr>
          <w:rFonts w:ascii="Times New Roman" w:hAnsi="Times New Roman" w:cs="Times New Roman"/>
          <w:color w:val="000000" w:themeColor="text1"/>
          <w:sz w:val="20"/>
          <w:szCs w:val="20"/>
          <w:lang w:val="en-US"/>
        </w:rPr>
        <w:t xml:space="preserve">Cullen International. </w:t>
      </w:r>
      <w:r w:rsidRPr="006D38E7">
        <w:rPr>
          <w:rFonts w:ascii="Times New Roman" w:hAnsi="Times New Roman" w:cs="Times New Roman"/>
          <w:bCs/>
          <w:color w:val="000000" w:themeColor="text1"/>
          <w:sz w:val="20"/>
          <w:szCs w:val="20"/>
          <w:lang w:val="en-US"/>
        </w:rPr>
        <w:t>Mobile termination rates - Glide paths</w:t>
      </w:r>
      <w:r w:rsidR="008D50C1" w:rsidRPr="006D38E7">
        <w:rPr>
          <w:rFonts w:ascii="Times New Roman" w:hAnsi="Times New Roman" w:cs="Times New Roman"/>
          <w:bCs/>
          <w:color w:val="000000" w:themeColor="text1"/>
          <w:sz w:val="20"/>
          <w:szCs w:val="20"/>
          <w:lang w:val="en-US"/>
        </w:rPr>
        <w:t xml:space="preserve"> y </w:t>
      </w:r>
      <w:proofErr w:type="spellStart"/>
      <w:r w:rsidR="008D50C1" w:rsidRPr="006D38E7">
        <w:rPr>
          <w:rFonts w:ascii="Times New Roman" w:hAnsi="Times New Roman" w:cs="Times New Roman"/>
          <w:bCs/>
          <w:color w:val="000000" w:themeColor="text1"/>
          <w:sz w:val="20"/>
          <w:szCs w:val="20"/>
          <w:lang w:val="en-US"/>
        </w:rPr>
        <w:t>Latam</w:t>
      </w:r>
      <w:proofErr w:type="spellEnd"/>
      <w:r w:rsidRPr="006D38E7">
        <w:rPr>
          <w:rFonts w:ascii="Times New Roman" w:hAnsi="Times New Roman" w:cs="Times New Roman"/>
          <w:bCs/>
          <w:color w:val="000000" w:themeColor="text1"/>
          <w:sz w:val="20"/>
          <w:szCs w:val="20"/>
          <w:lang w:val="en-US"/>
        </w:rPr>
        <w:t xml:space="preserve">. </w:t>
      </w:r>
      <w:r w:rsidRPr="006D38E7">
        <w:rPr>
          <w:rFonts w:ascii="Times New Roman" w:hAnsi="Times New Roman" w:cs="Times New Roman"/>
          <w:bCs/>
          <w:color w:val="000000" w:themeColor="text1"/>
          <w:sz w:val="20"/>
          <w:szCs w:val="20"/>
        </w:rPr>
        <w:t>Disponible en:</w:t>
      </w:r>
      <w:r w:rsidRPr="006D38E7">
        <w:rPr>
          <w:rFonts w:ascii="Times New Roman" w:hAnsi="Times New Roman" w:cs="Times New Roman"/>
          <w:color w:val="000000" w:themeColor="text1"/>
          <w:sz w:val="20"/>
          <w:szCs w:val="20"/>
        </w:rPr>
        <w:t xml:space="preserve"> </w:t>
      </w:r>
      <w:hyperlink r:id="rId18" w:history="1">
        <w:r w:rsidRPr="006D38E7">
          <w:rPr>
            <w:rStyle w:val="Hipervnculo"/>
            <w:rFonts w:ascii="Times New Roman" w:hAnsi="Times New Roman" w:cs="Times New Roman"/>
            <w:bCs/>
            <w:color w:val="000000" w:themeColor="text1"/>
            <w:sz w:val="20"/>
            <w:szCs w:val="20"/>
          </w:rPr>
          <w:t>http://www.cullen-international.com/</w:t>
        </w:r>
      </w:hyperlink>
      <w:r w:rsidRPr="006D38E7">
        <w:rPr>
          <w:rFonts w:ascii="Times New Roman" w:hAnsi="Times New Roman" w:cs="Times New Roman"/>
          <w:bCs/>
          <w:color w:val="000000" w:themeColor="text1"/>
          <w:sz w:val="20"/>
          <w:szCs w:val="20"/>
        </w:rPr>
        <w:t xml:space="preserve"> Consultado: junio 2015</w:t>
      </w:r>
    </w:p>
    <w:p w:rsidR="008D01E5" w:rsidRPr="006D38E7" w:rsidRDefault="008D01E5" w:rsidP="006D38E7">
      <w:pPr>
        <w:pStyle w:val="Prrafodelista"/>
        <w:numPr>
          <w:ilvl w:val="0"/>
          <w:numId w:val="41"/>
        </w:numPr>
        <w:spacing w:after="80" w:line="240" w:lineRule="auto"/>
        <w:ind w:left="193" w:hanging="193"/>
        <w:jc w:val="both"/>
        <w:rPr>
          <w:rFonts w:ascii="Times New Roman" w:hAnsi="Times New Roman" w:cs="Times New Roman"/>
          <w:bCs/>
          <w:color w:val="000000" w:themeColor="text1"/>
          <w:sz w:val="20"/>
          <w:szCs w:val="20"/>
        </w:rPr>
      </w:pPr>
      <w:proofErr w:type="spellStart"/>
      <w:r w:rsidRPr="006D38E7">
        <w:rPr>
          <w:rFonts w:ascii="Times New Roman" w:hAnsi="Times New Roman" w:cs="Times New Roman"/>
          <w:bCs/>
          <w:color w:val="000000" w:themeColor="text1"/>
          <w:sz w:val="20"/>
          <w:szCs w:val="20"/>
          <w:lang w:val="en-US"/>
        </w:rPr>
        <w:t>Comisión</w:t>
      </w:r>
      <w:proofErr w:type="spellEnd"/>
      <w:r w:rsidRPr="006D38E7">
        <w:rPr>
          <w:rFonts w:ascii="Times New Roman" w:hAnsi="Times New Roman" w:cs="Times New Roman"/>
          <w:bCs/>
          <w:color w:val="000000" w:themeColor="text1"/>
          <w:sz w:val="20"/>
          <w:szCs w:val="20"/>
          <w:lang w:val="en-US"/>
        </w:rPr>
        <w:t xml:space="preserve"> </w:t>
      </w:r>
      <w:proofErr w:type="spellStart"/>
      <w:r w:rsidRPr="006D38E7">
        <w:rPr>
          <w:rFonts w:ascii="Times New Roman" w:hAnsi="Times New Roman" w:cs="Times New Roman"/>
          <w:bCs/>
          <w:color w:val="000000" w:themeColor="text1"/>
          <w:sz w:val="20"/>
          <w:szCs w:val="20"/>
          <w:lang w:val="en-US"/>
        </w:rPr>
        <w:t>Europea</w:t>
      </w:r>
      <w:proofErr w:type="spellEnd"/>
      <w:r w:rsidRPr="006D38E7">
        <w:rPr>
          <w:rFonts w:ascii="Times New Roman" w:hAnsi="Times New Roman" w:cs="Times New Roman"/>
          <w:bCs/>
          <w:color w:val="000000" w:themeColor="text1"/>
          <w:sz w:val="20"/>
          <w:szCs w:val="20"/>
          <w:lang w:val="en-US"/>
        </w:rPr>
        <w:t xml:space="preserve"> (2009). Commission recommendation on the regulatory Treatment of Fixed and Mobile Termination rates in the UE. </w:t>
      </w:r>
      <w:proofErr w:type="spellStart"/>
      <w:r w:rsidR="00FC18CE" w:rsidRPr="006D38E7">
        <w:rPr>
          <w:rFonts w:ascii="Times New Roman" w:hAnsi="Times New Roman" w:cs="Times New Roman"/>
          <w:bCs/>
          <w:color w:val="000000" w:themeColor="text1"/>
          <w:sz w:val="20"/>
          <w:szCs w:val="20"/>
        </w:rPr>
        <w:t>Official</w:t>
      </w:r>
      <w:proofErr w:type="spellEnd"/>
      <w:r w:rsidR="00FC18CE" w:rsidRPr="006D38E7">
        <w:rPr>
          <w:rFonts w:ascii="Times New Roman" w:hAnsi="Times New Roman" w:cs="Times New Roman"/>
          <w:bCs/>
          <w:color w:val="000000" w:themeColor="text1"/>
          <w:sz w:val="20"/>
          <w:szCs w:val="20"/>
        </w:rPr>
        <w:t xml:space="preserve"> </w:t>
      </w:r>
      <w:proofErr w:type="spellStart"/>
      <w:r w:rsidR="00FC18CE" w:rsidRPr="006D38E7">
        <w:rPr>
          <w:rFonts w:ascii="Times New Roman" w:hAnsi="Times New Roman" w:cs="Times New Roman"/>
          <w:bCs/>
          <w:color w:val="000000" w:themeColor="text1"/>
          <w:sz w:val="20"/>
          <w:szCs w:val="20"/>
        </w:rPr>
        <w:t>Jo</w:t>
      </w:r>
      <w:r w:rsidR="00DB3C7F" w:rsidRPr="006D38E7">
        <w:rPr>
          <w:rFonts w:ascii="Times New Roman" w:hAnsi="Times New Roman" w:cs="Times New Roman"/>
          <w:bCs/>
          <w:color w:val="000000" w:themeColor="text1"/>
          <w:sz w:val="20"/>
          <w:szCs w:val="20"/>
        </w:rPr>
        <w:t>urnal</w:t>
      </w:r>
      <w:proofErr w:type="spellEnd"/>
      <w:r w:rsidR="00DB3C7F" w:rsidRPr="006D38E7">
        <w:rPr>
          <w:rFonts w:ascii="Times New Roman" w:hAnsi="Times New Roman" w:cs="Times New Roman"/>
          <w:bCs/>
          <w:color w:val="000000" w:themeColor="text1"/>
          <w:sz w:val="20"/>
          <w:szCs w:val="20"/>
        </w:rPr>
        <w:t xml:space="preserve"> of </w:t>
      </w:r>
      <w:proofErr w:type="spellStart"/>
      <w:r w:rsidR="00DB3C7F" w:rsidRPr="006D38E7">
        <w:rPr>
          <w:rFonts w:ascii="Times New Roman" w:hAnsi="Times New Roman" w:cs="Times New Roman"/>
          <w:bCs/>
          <w:color w:val="000000" w:themeColor="text1"/>
          <w:sz w:val="20"/>
          <w:szCs w:val="20"/>
        </w:rPr>
        <w:t>the</w:t>
      </w:r>
      <w:proofErr w:type="spellEnd"/>
      <w:r w:rsidR="00DB3C7F" w:rsidRPr="006D38E7">
        <w:rPr>
          <w:rFonts w:ascii="Times New Roman" w:hAnsi="Times New Roman" w:cs="Times New Roman"/>
          <w:bCs/>
          <w:color w:val="000000" w:themeColor="text1"/>
          <w:sz w:val="20"/>
          <w:szCs w:val="20"/>
        </w:rPr>
        <w:t xml:space="preserve"> </w:t>
      </w:r>
      <w:proofErr w:type="spellStart"/>
      <w:r w:rsidR="00DB3C7F" w:rsidRPr="006D38E7">
        <w:rPr>
          <w:rFonts w:ascii="Times New Roman" w:hAnsi="Times New Roman" w:cs="Times New Roman"/>
          <w:bCs/>
          <w:color w:val="000000" w:themeColor="text1"/>
          <w:sz w:val="20"/>
          <w:szCs w:val="20"/>
        </w:rPr>
        <w:t>European</w:t>
      </w:r>
      <w:proofErr w:type="spellEnd"/>
      <w:r w:rsidR="00DB3C7F" w:rsidRPr="006D38E7">
        <w:rPr>
          <w:rFonts w:ascii="Times New Roman" w:hAnsi="Times New Roman" w:cs="Times New Roman"/>
          <w:bCs/>
          <w:color w:val="000000" w:themeColor="text1"/>
          <w:sz w:val="20"/>
          <w:szCs w:val="20"/>
        </w:rPr>
        <w:t xml:space="preserve"> </w:t>
      </w:r>
      <w:proofErr w:type="spellStart"/>
      <w:r w:rsidR="00DB3C7F" w:rsidRPr="006D38E7">
        <w:rPr>
          <w:rFonts w:ascii="Times New Roman" w:hAnsi="Times New Roman" w:cs="Times New Roman"/>
          <w:bCs/>
          <w:color w:val="000000" w:themeColor="text1"/>
          <w:sz w:val="20"/>
          <w:szCs w:val="20"/>
        </w:rPr>
        <w:t>Union</w:t>
      </w:r>
      <w:proofErr w:type="spellEnd"/>
      <w:r w:rsidR="00DB3C7F" w:rsidRPr="006D38E7">
        <w:rPr>
          <w:rFonts w:ascii="Times New Roman" w:hAnsi="Times New Roman" w:cs="Times New Roman"/>
          <w:bCs/>
          <w:color w:val="000000" w:themeColor="text1"/>
          <w:sz w:val="20"/>
          <w:szCs w:val="20"/>
        </w:rPr>
        <w:t>. (2009/396/EC).</w:t>
      </w:r>
    </w:p>
    <w:p w:rsidR="00502954" w:rsidRPr="006D38E7" w:rsidRDefault="00502954" w:rsidP="006D38E7">
      <w:pPr>
        <w:pStyle w:val="Prrafodelista"/>
        <w:numPr>
          <w:ilvl w:val="0"/>
          <w:numId w:val="41"/>
        </w:numPr>
        <w:autoSpaceDE w:val="0"/>
        <w:autoSpaceDN w:val="0"/>
        <w:adjustRightInd w:val="0"/>
        <w:spacing w:after="80" w:line="240" w:lineRule="auto"/>
        <w:ind w:left="193" w:hanging="193"/>
        <w:rPr>
          <w:rFonts w:ascii="Times New Roman" w:hAnsi="Times New Roman" w:cs="Times New Roman"/>
          <w:sz w:val="20"/>
          <w:szCs w:val="20"/>
        </w:rPr>
      </w:pPr>
      <w:proofErr w:type="spellStart"/>
      <w:r w:rsidRPr="006D38E7">
        <w:rPr>
          <w:rFonts w:ascii="Times New Roman" w:hAnsi="Times New Roman" w:cs="Times New Roman"/>
          <w:sz w:val="20"/>
          <w:szCs w:val="20"/>
          <w:lang w:val="en-US"/>
        </w:rPr>
        <w:t>Dewenter</w:t>
      </w:r>
      <w:proofErr w:type="spellEnd"/>
      <w:r w:rsidRPr="006D38E7">
        <w:rPr>
          <w:rFonts w:ascii="Times New Roman" w:hAnsi="Times New Roman" w:cs="Times New Roman"/>
          <w:sz w:val="20"/>
          <w:szCs w:val="20"/>
          <w:lang w:val="en-US"/>
        </w:rPr>
        <w:t xml:space="preserve">, R. y </w:t>
      </w:r>
      <w:proofErr w:type="spellStart"/>
      <w:r w:rsidRPr="006D38E7">
        <w:rPr>
          <w:rFonts w:ascii="Times New Roman" w:hAnsi="Times New Roman" w:cs="Times New Roman"/>
          <w:sz w:val="20"/>
          <w:szCs w:val="20"/>
          <w:lang w:val="en-US"/>
        </w:rPr>
        <w:t>Haucap</w:t>
      </w:r>
      <w:proofErr w:type="spellEnd"/>
      <w:r w:rsidRPr="006D38E7">
        <w:rPr>
          <w:rFonts w:ascii="Times New Roman" w:hAnsi="Times New Roman" w:cs="Times New Roman"/>
          <w:sz w:val="20"/>
          <w:szCs w:val="20"/>
          <w:lang w:val="en-US"/>
        </w:rPr>
        <w:t xml:space="preserve"> (2005). The Effects of Regulating Mobile Termination Rates for Asymmetric Networks. </w:t>
      </w:r>
      <w:proofErr w:type="spellStart"/>
      <w:r w:rsidRPr="006D38E7">
        <w:rPr>
          <w:rFonts w:ascii="Times New Roman" w:hAnsi="Times New Roman" w:cs="Times New Roman"/>
          <w:sz w:val="20"/>
          <w:szCs w:val="20"/>
        </w:rPr>
        <w:t>European</w:t>
      </w:r>
      <w:proofErr w:type="spellEnd"/>
      <w:r w:rsidRPr="006D38E7">
        <w:rPr>
          <w:rFonts w:ascii="Times New Roman" w:hAnsi="Times New Roman" w:cs="Times New Roman"/>
          <w:sz w:val="20"/>
          <w:szCs w:val="20"/>
        </w:rPr>
        <w:t xml:space="preserve"> </w:t>
      </w:r>
      <w:r w:rsidR="005B66A2" w:rsidRPr="006D38E7">
        <w:rPr>
          <w:rFonts w:ascii="Times New Roman" w:hAnsi="Times New Roman" w:cs="Times New Roman"/>
          <w:sz w:val="20"/>
          <w:szCs w:val="20"/>
        </w:rPr>
        <w:t>J.</w:t>
      </w:r>
      <w:r w:rsidRPr="006D38E7">
        <w:rPr>
          <w:rFonts w:ascii="Times New Roman" w:hAnsi="Times New Roman" w:cs="Times New Roman"/>
          <w:sz w:val="20"/>
          <w:szCs w:val="20"/>
        </w:rPr>
        <w:t xml:space="preserve"> of </w:t>
      </w:r>
      <w:proofErr w:type="spellStart"/>
      <w:r w:rsidRPr="006D38E7">
        <w:rPr>
          <w:rFonts w:ascii="Times New Roman" w:hAnsi="Times New Roman" w:cs="Times New Roman"/>
          <w:sz w:val="20"/>
          <w:szCs w:val="20"/>
        </w:rPr>
        <w:t>Law</w:t>
      </w:r>
      <w:proofErr w:type="spellEnd"/>
      <w:r w:rsidRPr="006D38E7">
        <w:rPr>
          <w:rFonts w:ascii="Times New Roman" w:hAnsi="Times New Roman" w:cs="Times New Roman"/>
          <w:sz w:val="20"/>
          <w:szCs w:val="20"/>
        </w:rPr>
        <w:t xml:space="preserve"> and </w:t>
      </w:r>
      <w:proofErr w:type="spellStart"/>
      <w:r w:rsidRPr="006D38E7">
        <w:rPr>
          <w:rFonts w:ascii="Times New Roman" w:hAnsi="Times New Roman" w:cs="Times New Roman"/>
          <w:sz w:val="20"/>
          <w:szCs w:val="20"/>
        </w:rPr>
        <w:t>Economics</w:t>
      </w:r>
      <w:proofErr w:type="spellEnd"/>
      <w:r w:rsidRPr="006D38E7">
        <w:rPr>
          <w:rFonts w:ascii="Times New Roman" w:hAnsi="Times New Roman" w:cs="Times New Roman"/>
          <w:sz w:val="20"/>
          <w:szCs w:val="20"/>
        </w:rPr>
        <w:t>, Vol. 20, No. 2, pp. 185-197.</w:t>
      </w:r>
    </w:p>
    <w:p w:rsidR="003E391B" w:rsidRDefault="00BA3337" w:rsidP="003E391B">
      <w:pPr>
        <w:pStyle w:val="Prrafodelista"/>
        <w:numPr>
          <w:ilvl w:val="0"/>
          <w:numId w:val="41"/>
        </w:numPr>
        <w:spacing w:after="80" w:line="240" w:lineRule="auto"/>
        <w:ind w:left="193" w:hanging="193"/>
        <w:jc w:val="both"/>
        <w:rPr>
          <w:rFonts w:ascii="Times New Roman" w:hAnsi="Times New Roman" w:cs="Times New Roman"/>
          <w:bCs/>
          <w:color w:val="000000" w:themeColor="text1"/>
          <w:sz w:val="20"/>
          <w:szCs w:val="20"/>
          <w14:props3d w14:extrusionH="0" w14:contourW="0" w14:prstMaterial="matte"/>
        </w:rPr>
      </w:pPr>
      <w:r w:rsidRPr="006D38E7">
        <w:rPr>
          <w:rFonts w:ascii="Times New Roman" w:hAnsi="Times New Roman" w:cs="Times New Roman"/>
          <w:bCs/>
          <w:color w:val="000000" w:themeColor="text1"/>
          <w:sz w:val="20"/>
          <w:szCs w:val="20"/>
          <w14:props3d w14:extrusionH="0" w14:contourW="0" w14:prstMaterial="matte"/>
        </w:rPr>
        <w:t xml:space="preserve">Instituto Federal de Telecomunicaciones. Comunicado de prensa No. 13/2014. Disponible en: </w:t>
      </w:r>
      <w:hyperlink r:id="rId19" w:history="1">
        <w:r w:rsidR="0070673D" w:rsidRPr="006D38E7">
          <w:rPr>
            <w:rStyle w:val="Hipervnculo"/>
            <w:rFonts w:ascii="Times New Roman" w:hAnsi="Times New Roman" w:cs="Times New Roman"/>
            <w:bCs/>
            <w:sz w:val="20"/>
            <w:szCs w:val="20"/>
            <w14:props3d w14:extrusionH="0" w14:contourW="0" w14:prstMaterial="matte"/>
          </w:rPr>
          <w:t>http://www.ift.org.mx/comunicacion-y-medios/</w:t>
        </w:r>
      </w:hyperlink>
      <w:r w:rsidR="00C60C44" w:rsidRPr="006D38E7">
        <w:rPr>
          <w:rStyle w:val="Hipervnculo"/>
          <w:rFonts w:ascii="Times New Roman" w:hAnsi="Times New Roman" w:cs="Times New Roman"/>
          <w:bCs/>
          <w:color w:val="000000" w:themeColor="text1"/>
          <w:sz w:val="20"/>
          <w:szCs w:val="20"/>
          <w14:props3d w14:extrusionH="0" w14:contourW="0" w14:prstMaterial="matte"/>
        </w:rPr>
        <w:t xml:space="preserve"> Consultado: </w:t>
      </w:r>
      <w:r w:rsidRPr="006D38E7">
        <w:rPr>
          <w:rFonts w:ascii="Times New Roman" w:hAnsi="Times New Roman" w:cs="Times New Roman"/>
          <w:bCs/>
          <w:color w:val="000000" w:themeColor="text1"/>
          <w:sz w:val="20"/>
          <w:szCs w:val="20"/>
          <w14:props3d w14:extrusionH="0" w14:contourW="0" w14:prstMaterial="matte"/>
        </w:rPr>
        <w:t xml:space="preserve">junio 2015. </w:t>
      </w:r>
    </w:p>
    <w:p w:rsidR="000920F6" w:rsidRPr="003E391B" w:rsidRDefault="000920F6" w:rsidP="003E391B">
      <w:pPr>
        <w:pStyle w:val="Prrafodelista"/>
        <w:numPr>
          <w:ilvl w:val="0"/>
          <w:numId w:val="41"/>
        </w:numPr>
        <w:spacing w:after="80" w:line="240" w:lineRule="auto"/>
        <w:ind w:left="193" w:hanging="193"/>
        <w:jc w:val="both"/>
        <w:rPr>
          <w:rFonts w:ascii="Times New Roman" w:hAnsi="Times New Roman" w:cs="Times New Roman"/>
          <w:bCs/>
          <w:color w:val="000000" w:themeColor="text1"/>
          <w:sz w:val="20"/>
          <w:szCs w:val="20"/>
          <w14:props3d w14:extrusionH="0" w14:contourW="0" w14:prstMaterial="matte"/>
        </w:rPr>
      </w:pPr>
      <w:proofErr w:type="spellStart"/>
      <w:r w:rsidRPr="003E391B">
        <w:rPr>
          <w:rFonts w:ascii="Times New Roman" w:hAnsi="Times New Roman" w:cs="Times New Roman"/>
          <w:sz w:val="20"/>
          <w:szCs w:val="20"/>
        </w:rPr>
        <w:t>Hausman</w:t>
      </w:r>
      <w:proofErr w:type="spellEnd"/>
      <w:r w:rsidRPr="003E391B">
        <w:rPr>
          <w:rFonts w:ascii="Times New Roman" w:hAnsi="Times New Roman" w:cs="Times New Roman"/>
          <w:sz w:val="20"/>
          <w:szCs w:val="20"/>
        </w:rPr>
        <w:t xml:space="preserve">, J. y Ros, A. (2013). Corrección de la Evaluación Errónea de la OCDE acerca de la Competencia en el Sector de las Telecomunicaciones en México. El Trimestre Económico, Vol. LXXX (3), </w:t>
      </w:r>
      <w:proofErr w:type="spellStart"/>
      <w:r w:rsidRPr="003E391B">
        <w:rPr>
          <w:rFonts w:ascii="Times New Roman" w:hAnsi="Times New Roman" w:cs="Times New Roman"/>
          <w:sz w:val="20"/>
          <w:szCs w:val="20"/>
        </w:rPr>
        <w:t>num</w:t>
      </w:r>
      <w:proofErr w:type="spellEnd"/>
      <w:r w:rsidRPr="003E391B">
        <w:rPr>
          <w:rFonts w:ascii="Times New Roman" w:hAnsi="Times New Roman" w:cs="Times New Roman"/>
          <w:sz w:val="20"/>
          <w:szCs w:val="20"/>
        </w:rPr>
        <w:t>. 319, julio a septiembre de 2013, pp. 489 a 539.</w:t>
      </w:r>
    </w:p>
    <w:p w:rsidR="002455FD" w:rsidRPr="006D38E7" w:rsidRDefault="002455FD" w:rsidP="003E391B">
      <w:pPr>
        <w:pStyle w:val="Prrafodelista"/>
        <w:numPr>
          <w:ilvl w:val="0"/>
          <w:numId w:val="41"/>
        </w:numPr>
        <w:spacing w:after="80" w:line="240" w:lineRule="auto"/>
        <w:ind w:left="193" w:hanging="193"/>
        <w:jc w:val="both"/>
        <w:rPr>
          <w:rFonts w:ascii="Times New Roman" w:hAnsi="Times New Roman" w:cs="Times New Roman"/>
          <w:color w:val="231F20"/>
          <w:sz w:val="20"/>
          <w:szCs w:val="20"/>
          <w:lang w:val="en-US"/>
        </w:rPr>
      </w:pPr>
      <w:proofErr w:type="spellStart"/>
      <w:r w:rsidRPr="006D38E7">
        <w:rPr>
          <w:rFonts w:ascii="Times New Roman" w:hAnsi="Times New Roman" w:cs="Times New Roman"/>
          <w:color w:val="231F20"/>
          <w:sz w:val="20"/>
          <w:szCs w:val="20"/>
          <w:lang w:val="en-US"/>
        </w:rPr>
        <w:t>Peitz</w:t>
      </w:r>
      <w:proofErr w:type="spellEnd"/>
      <w:r w:rsidRPr="006D38E7">
        <w:rPr>
          <w:rFonts w:ascii="Times New Roman" w:hAnsi="Times New Roman" w:cs="Times New Roman"/>
          <w:color w:val="231F20"/>
          <w:sz w:val="20"/>
          <w:szCs w:val="20"/>
          <w:lang w:val="en-US"/>
        </w:rPr>
        <w:t>, Martin</w:t>
      </w:r>
      <w:r w:rsidR="0048202C" w:rsidRPr="006D38E7">
        <w:rPr>
          <w:rFonts w:ascii="Times New Roman" w:hAnsi="Times New Roman" w:cs="Times New Roman"/>
          <w:color w:val="231F20"/>
          <w:sz w:val="20"/>
          <w:szCs w:val="20"/>
          <w:lang w:val="en-US"/>
        </w:rPr>
        <w:t xml:space="preserve"> (200</w:t>
      </w:r>
      <w:r w:rsidR="008A1A87" w:rsidRPr="006D38E7">
        <w:rPr>
          <w:rFonts w:ascii="Times New Roman" w:hAnsi="Times New Roman" w:cs="Times New Roman"/>
          <w:color w:val="231F20"/>
          <w:sz w:val="20"/>
          <w:szCs w:val="20"/>
          <w:lang w:val="en-US"/>
        </w:rPr>
        <w:t>5a</w:t>
      </w:r>
      <w:r w:rsidR="003B4B5A" w:rsidRPr="006D38E7">
        <w:rPr>
          <w:rFonts w:ascii="Times New Roman" w:hAnsi="Times New Roman" w:cs="Times New Roman"/>
          <w:color w:val="231F20"/>
          <w:sz w:val="20"/>
          <w:szCs w:val="20"/>
          <w:lang w:val="en-US"/>
        </w:rPr>
        <w:t>)</w:t>
      </w:r>
      <w:r w:rsidRPr="006D38E7">
        <w:rPr>
          <w:rFonts w:ascii="Times New Roman" w:hAnsi="Times New Roman" w:cs="Times New Roman"/>
          <w:color w:val="231F20"/>
          <w:sz w:val="20"/>
          <w:szCs w:val="20"/>
          <w:lang w:val="en-US"/>
        </w:rPr>
        <w:t>. Asymmetric access price regulation in telecommunicatio</w:t>
      </w:r>
      <w:r w:rsidR="008D50C1" w:rsidRPr="006D38E7">
        <w:rPr>
          <w:rFonts w:ascii="Times New Roman" w:hAnsi="Times New Roman" w:cs="Times New Roman"/>
          <w:color w:val="231F20"/>
          <w:sz w:val="20"/>
          <w:szCs w:val="20"/>
          <w:lang w:val="en-US"/>
        </w:rPr>
        <w:t xml:space="preserve">ns markets. Elsevier. European </w:t>
      </w:r>
      <w:r w:rsidRPr="006D38E7">
        <w:rPr>
          <w:rFonts w:ascii="Times New Roman" w:hAnsi="Times New Roman" w:cs="Times New Roman"/>
          <w:color w:val="231F20"/>
          <w:sz w:val="20"/>
          <w:szCs w:val="20"/>
          <w:lang w:val="en-US"/>
        </w:rPr>
        <w:t xml:space="preserve">Economic </w:t>
      </w:r>
      <w:r w:rsidR="0033557C" w:rsidRPr="006D38E7">
        <w:rPr>
          <w:rFonts w:ascii="Times New Roman" w:hAnsi="Times New Roman" w:cs="Times New Roman"/>
          <w:color w:val="231F20"/>
          <w:sz w:val="20"/>
          <w:szCs w:val="20"/>
          <w:lang w:val="en-US"/>
        </w:rPr>
        <w:t>R</w:t>
      </w:r>
      <w:r w:rsidR="008A1A87" w:rsidRPr="006D38E7">
        <w:rPr>
          <w:rFonts w:ascii="Times New Roman" w:hAnsi="Times New Roman" w:cs="Times New Roman"/>
          <w:color w:val="231F20"/>
          <w:sz w:val="20"/>
          <w:szCs w:val="20"/>
          <w:lang w:val="en-US"/>
        </w:rPr>
        <w:t>eview 49,</w:t>
      </w:r>
      <w:r w:rsidRPr="006D38E7">
        <w:rPr>
          <w:rFonts w:ascii="Times New Roman" w:hAnsi="Times New Roman" w:cs="Times New Roman"/>
          <w:color w:val="231F20"/>
          <w:sz w:val="20"/>
          <w:szCs w:val="20"/>
          <w:lang w:val="en-US"/>
        </w:rPr>
        <w:t xml:space="preserve"> </w:t>
      </w:r>
      <w:r w:rsidR="0033557C" w:rsidRPr="006D38E7">
        <w:rPr>
          <w:rFonts w:ascii="Times New Roman" w:hAnsi="Times New Roman" w:cs="Times New Roman"/>
          <w:color w:val="231F20"/>
          <w:sz w:val="20"/>
          <w:szCs w:val="20"/>
          <w:lang w:val="en-US"/>
        </w:rPr>
        <w:t xml:space="preserve">pp. </w:t>
      </w:r>
      <w:r w:rsidRPr="006D38E7">
        <w:rPr>
          <w:rFonts w:ascii="Times New Roman" w:hAnsi="Times New Roman" w:cs="Times New Roman"/>
          <w:color w:val="231F20"/>
          <w:sz w:val="20"/>
          <w:szCs w:val="20"/>
          <w:lang w:val="en-US"/>
        </w:rPr>
        <w:t xml:space="preserve">341-358. </w:t>
      </w:r>
    </w:p>
    <w:p w:rsidR="002455FD" w:rsidRPr="006D38E7" w:rsidRDefault="00C87E3C" w:rsidP="006D38E7">
      <w:pPr>
        <w:pStyle w:val="Prrafodelista"/>
        <w:numPr>
          <w:ilvl w:val="0"/>
          <w:numId w:val="41"/>
        </w:numPr>
        <w:spacing w:after="80" w:line="240" w:lineRule="auto"/>
        <w:ind w:left="193" w:hanging="193"/>
        <w:jc w:val="both"/>
        <w:rPr>
          <w:rFonts w:ascii="Times New Roman" w:hAnsi="Times New Roman" w:cs="Times New Roman"/>
          <w:sz w:val="20"/>
          <w:szCs w:val="20"/>
          <w:lang w:val="en-US"/>
        </w:rPr>
      </w:pPr>
      <w:proofErr w:type="spellStart"/>
      <w:r w:rsidRPr="006D38E7">
        <w:rPr>
          <w:rFonts w:ascii="Times New Roman" w:hAnsi="Times New Roman" w:cs="Times New Roman"/>
          <w:sz w:val="20"/>
          <w:szCs w:val="20"/>
          <w:lang w:val="en-US"/>
        </w:rPr>
        <w:t>Peitz</w:t>
      </w:r>
      <w:proofErr w:type="spellEnd"/>
      <w:r w:rsidRPr="006D38E7">
        <w:rPr>
          <w:rFonts w:ascii="Times New Roman" w:hAnsi="Times New Roman" w:cs="Times New Roman"/>
          <w:sz w:val="20"/>
          <w:szCs w:val="20"/>
          <w:lang w:val="en-US"/>
        </w:rPr>
        <w:t>, Martin</w:t>
      </w:r>
      <w:r w:rsidR="003B4B5A" w:rsidRPr="006D38E7">
        <w:rPr>
          <w:rFonts w:ascii="Times New Roman" w:hAnsi="Times New Roman" w:cs="Times New Roman"/>
          <w:sz w:val="20"/>
          <w:szCs w:val="20"/>
          <w:lang w:val="en-US"/>
        </w:rPr>
        <w:t>. (2005</w:t>
      </w:r>
      <w:r w:rsidR="008A1A87" w:rsidRPr="006D38E7">
        <w:rPr>
          <w:rFonts w:ascii="Times New Roman" w:hAnsi="Times New Roman" w:cs="Times New Roman"/>
          <w:sz w:val="20"/>
          <w:szCs w:val="20"/>
          <w:lang w:val="en-US"/>
        </w:rPr>
        <w:t>b</w:t>
      </w:r>
      <w:r w:rsidR="003B4B5A" w:rsidRPr="006D38E7">
        <w:rPr>
          <w:rFonts w:ascii="Times New Roman" w:hAnsi="Times New Roman" w:cs="Times New Roman"/>
          <w:sz w:val="20"/>
          <w:szCs w:val="20"/>
          <w:lang w:val="en-US"/>
        </w:rPr>
        <w:t>)</w:t>
      </w:r>
      <w:r w:rsidRPr="006D38E7">
        <w:rPr>
          <w:rFonts w:ascii="Times New Roman" w:hAnsi="Times New Roman" w:cs="Times New Roman"/>
          <w:sz w:val="20"/>
          <w:szCs w:val="20"/>
          <w:lang w:val="en-US"/>
        </w:rPr>
        <w:t>. Asymmetric regulation of Access and Price Discrimination in Telecommunications</w:t>
      </w:r>
      <w:r w:rsidR="003B4B5A" w:rsidRPr="006D38E7">
        <w:rPr>
          <w:rFonts w:ascii="Times New Roman" w:hAnsi="Times New Roman" w:cs="Times New Roman"/>
          <w:sz w:val="20"/>
          <w:szCs w:val="20"/>
          <w:lang w:val="en-US"/>
        </w:rPr>
        <w:t xml:space="preserve">. </w:t>
      </w:r>
      <w:r w:rsidR="0033557C" w:rsidRPr="006D38E7">
        <w:rPr>
          <w:rFonts w:ascii="Times New Roman" w:hAnsi="Times New Roman" w:cs="Times New Roman"/>
          <w:sz w:val="20"/>
          <w:szCs w:val="20"/>
          <w:lang w:val="en-US"/>
        </w:rPr>
        <w:t>Journal of Regulatory Economics.</w:t>
      </w:r>
      <w:r w:rsidR="0033557C" w:rsidRPr="006D38E7">
        <w:rPr>
          <w:rStyle w:val="articlecitationyear"/>
          <w:rFonts w:ascii="Times New Roman" w:hAnsi="Times New Roman" w:cs="Times New Roman"/>
          <w:sz w:val="20"/>
          <w:szCs w:val="20"/>
          <w:lang w:val="en"/>
        </w:rPr>
        <w:t xml:space="preserve"> </w:t>
      </w:r>
      <w:r w:rsidR="0033557C" w:rsidRPr="006D38E7">
        <w:rPr>
          <w:rStyle w:val="articlecitationvolume"/>
          <w:rFonts w:ascii="Times New Roman" w:hAnsi="Times New Roman" w:cs="Times New Roman"/>
          <w:sz w:val="20"/>
          <w:szCs w:val="20"/>
          <w:lang w:val="en"/>
        </w:rPr>
        <w:t>Vol. 28,</w:t>
      </w:r>
      <w:r w:rsidR="0033557C" w:rsidRPr="006D38E7">
        <w:rPr>
          <w:rStyle w:val="articlecitationissue"/>
          <w:rFonts w:ascii="Times New Roman" w:hAnsi="Times New Roman" w:cs="Times New Roman"/>
          <w:sz w:val="20"/>
          <w:szCs w:val="20"/>
          <w:lang w:val="en"/>
        </w:rPr>
        <w:t xml:space="preserve"> Issue 3,</w:t>
      </w:r>
      <w:r w:rsidR="0033557C" w:rsidRPr="006D38E7">
        <w:rPr>
          <w:rStyle w:val="articlecitationpages"/>
          <w:rFonts w:ascii="Times New Roman" w:hAnsi="Times New Roman" w:cs="Times New Roman"/>
          <w:sz w:val="20"/>
          <w:szCs w:val="20"/>
          <w:lang w:val="en"/>
        </w:rPr>
        <w:t xml:space="preserve"> pp 327-343.</w:t>
      </w:r>
    </w:p>
    <w:p w:rsidR="00502954" w:rsidRPr="006D38E7" w:rsidRDefault="00502954" w:rsidP="006D38E7">
      <w:pPr>
        <w:pStyle w:val="a"/>
        <w:numPr>
          <w:ilvl w:val="0"/>
          <w:numId w:val="41"/>
        </w:numPr>
        <w:spacing w:after="80"/>
        <w:ind w:left="193" w:hanging="193"/>
        <w:jc w:val="both"/>
        <w:rPr>
          <w:sz w:val="20"/>
          <w:szCs w:val="20"/>
          <w:lang w:val="en-US"/>
        </w:rPr>
      </w:pPr>
      <w:proofErr w:type="spellStart"/>
      <w:r w:rsidRPr="006D38E7">
        <w:rPr>
          <w:sz w:val="20"/>
          <w:szCs w:val="20"/>
          <w:lang w:val="en-US"/>
        </w:rPr>
        <w:t>Valletti</w:t>
      </w:r>
      <w:proofErr w:type="spellEnd"/>
      <w:r w:rsidRPr="006D38E7">
        <w:rPr>
          <w:sz w:val="20"/>
          <w:szCs w:val="20"/>
          <w:lang w:val="en-US"/>
        </w:rPr>
        <w:t>, T. Asymmetric Regulation of Mobile Termination Rates (2006)</w:t>
      </w:r>
      <w:r w:rsidR="005B66A2" w:rsidRPr="006D38E7">
        <w:rPr>
          <w:sz w:val="20"/>
          <w:szCs w:val="20"/>
          <w:lang w:val="en-US"/>
        </w:rPr>
        <w:t xml:space="preserve">. </w:t>
      </w:r>
      <w:r w:rsidR="005B66A2" w:rsidRPr="006D38E7">
        <w:rPr>
          <w:bCs/>
          <w:sz w:val="20"/>
          <w:szCs w:val="20"/>
          <w:lang w:val="en-US"/>
        </w:rPr>
        <w:t xml:space="preserve">Imperial </w:t>
      </w:r>
      <w:r w:rsidR="005B66A2" w:rsidRPr="006D38E7">
        <w:rPr>
          <w:sz w:val="20"/>
          <w:szCs w:val="20"/>
          <w:lang w:val="en-US"/>
        </w:rPr>
        <w:t>College London and University of Rome. https://www.researchgate.net/publication/232710139.</w:t>
      </w:r>
    </w:p>
    <w:sectPr w:rsidR="00502954" w:rsidRPr="006D38E7" w:rsidSect="00466ACC">
      <w:headerReference w:type="default" r:id="rId20"/>
      <w:footerReference w:type="default" r:id="rId21"/>
      <w:pgSz w:w="12240" w:h="15840"/>
      <w:pgMar w:top="1094" w:right="862" w:bottom="1094" w:left="10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31C" w:rsidRDefault="0026031C" w:rsidP="00472E26">
      <w:pPr>
        <w:spacing w:after="0" w:line="240" w:lineRule="auto"/>
      </w:pPr>
      <w:r>
        <w:separator/>
      </w:r>
    </w:p>
  </w:endnote>
  <w:endnote w:type="continuationSeparator" w:id="0">
    <w:p w:rsidR="0026031C" w:rsidRDefault="0026031C" w:rsidP="00472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743036"/>
      <w:docPartObj>
        <w:docPartGallery w:val="Page Numbers (Bottom of Page)"/>
        <w:docPartUnique/>
      </w:docPartObj>
    </w:sdtPr>
    <w:sdtEndPr/>
    <w:sdtContent>
      <w:p w:rsidR="00CB090E" w:rsidRDefault="00CB090E">
        <w:pPr>
          <w:pStyle w:val="Piedepgina"/>
          <w:jc w:val="right"/>
        </w:pPr>
        <w:r>
          <w:fldChar w:fldCharType="begin"/>
        </w:r>
        <w:r>
          <w:instrText>PAGE   \* MERGEFORMAT</w:instrText>
        </w:r>
        <w:r>
          <w:fldChar w:fldCharType="separate"/>
        </w:r>
        <w:r w:rsidR="00776B4F" w:rsidRPr="00776B4F">
          <w:rPr>
            <w:noProof/>
            <w:lang w:val="es-ES"/>
          </w:rPr>
          <w:t>13</w:t>
        </w:r>
        <w:r>
          <w:fldChar w:fldCharType="end"/>
        </w:r>
      </w:p>
    </w:sdtContent>
  </w:sdt>
  <w:p w:rsidR="00CB090E" w:rsidRDefault="00CB09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31C" w:rsidRDefault="0026031C" w:rsidP="00472E26">
      <w:pPr>
        <w:spacing w:after="0" w:line="240" w:lineRule="auto"/>
      </w:pPr>
      <w:r>
        <w:separator/>
      </w:r>
    </w:p>
  </w:footnote>
  <w:footnote w:type="continuationSeparator" w:id="0">
    <w:p w:rsidR="0026031C" w:rsidRDefault="0026031C" w:rsidP="00472E26">
      <w:pPr>
        <w:spacing w:after="0" w:line="240" w:lineRule="auto"/>
      </w:pPr>
      <w:r>
        <w:continuationSeparator/>
      </w:r>
    </w:p>
  </w:footnote>
  <w:footnote w:id="1">
    <w:p w:rsidR="00CB090E" w:rsidRPr="007D37B6" w:rsidRDefault="00CB090E" w:rsidP="00745273">
      <w:pPr>
        <w:pStyle w:val="Textonotapie"/>
        <w:jc w:val="both"/>
        <w:rPr>
          <w:rFonts w:ascii="Times New Roman" w:hAnsi="Times New Roman" w:cs="Times New Roman"/>
          <w:sz w:val="18"/>
          <w:szCs w:val="18"/>
        </w:rPr>
      </w:pPr>
      <w:r>
        <w:rPr>
          <w:rStyle w:val="Refdenotaalpie"/>
        </w:rPr>
        <w:footnoteRef/>
      </w:r>
      <w:r>
        <w:t xml:space="preserve"> </w:t>
      </w:r>
      <w:r w:rsidRPr="007D37B6">
        <w:rPr>
          <w:rFonts w:ascii="Times New Roman" w:hAnsi="Times New Roman" w:cs="Times New Roman"/>
          <w:sz w:val="18"/>
          <w:szCs w:val="18"/>
        </w:rPr>
        <w:t>Preponderante</w:t>
      </w:r>
      <w:r>
        <w:rPr>
          <w:rFonts w:ascii="Times New Roman" w:hAnsi="Times New Roman" w:cs="Times New Roman"/>
          <w:sz w:val="18"/>
          <w:szCs w:val="18"/>
        </w:rPr>
        <w:t xml:space="preserve"> es el</w:t>
      </w:r>
      <w:r w:rsidRPr="007D37B6">
        <w:rPr>
          <w:rFonts w:ascii="Times New Roman" w:hAnsi="Times New Roman" w:cs="Times New Roman"/>
          <w:sz w:val="18"/>
          <w:szCs w:val="18"/>
        </w:rPr>
        <w:t xml:space="preserve"> término usado en la L</w:t>
      </w:r>
      <w:r>
        <w:rPr>
          <w:rFonts w:ascii="Times New Roman" w:hAnsi="Times New Roman" w:cs="Times New Roman"/>
          <w:sz w:val="18"/>
          <w:szCs w:val="18"/>
        </w:rPr>
        <w:t>FTR</w:t>
      </w:r>
      <w:r w:rsidRPr="007D37B6">
        <w:rPr>
          <w:rFonts w:ascii="Times New Roman" w:hAnsi="Times New Roman" w:cs="Times New Roman"/>
          <w:sz w:val="18"/>
          <w:szCs w:val="18"/>
        </w:rPr>
        <w:t xml:space="preserve"> para designar al operador que detenta una participación de mercado de 50% o más</w:t>
      </w:r>
      <w:r>
        <w:rPr>
          <w:rFonts w:ascii="Times New Roman" w:hAnsi="Times New Roman" w:cs="Times New Roman"/>
          <w:sz w:val="18"/>
          <w:szCs w:val="18"/>
        </w:rPr>
        <w:t xml:space="preserve"> en las telecomunicaciones o la radiodifusión</w:t>
      </w:r>
      <w:r w:rsidRPr="007D37B6">
        <w:rPr>
          <w:rFonts w:ascii="Times New Roman" w:hAnsi="Times New Roman" w:cs="Times New Roman"/>
          <w:sz w:val="18"/>
          <w:szCs w:val="18"/>
        </w:rPr>
        <w:t xml:space="preserve">, y que se sujeta a regulación asimétrica. </w:t>
      </w:r>
    </w:p>
  </w:footnote>
  <w:footnote w:id="2">
    <w:p w:rsidR="00CB090E" w:rsidRPr="007D37B6" w:rsidRDefault="00CB090E" w:rsidP="00745273">
      <w:pPr>
        <w:spacing w:after="0" w:line="240" w:lineRule="auto"/>
        <w:jc w:val="both"/>
        <w:rPr>
          <w:rFonts w:ascii="Times New Roman" w:hAnsi="Times New Roman" w:cs="Times New Roman"/>
          <w:sz w:val="18"/>
          <w:szCs w:val="18"/>
        </w:rPr>
      </w:pPr>
      <w:r w:rsidRPr="007D37B6">
        <w:rPr>
          <w:rStyle w:val="Refdenotaalpie"/>
          <w:rFonts w:ascii="Times New Roman" w:hAnsi="Times New Roman" w:cs="Times New Roman"/>
          <w:sz w:val="18"/>
          <w:szCs w:val="18"/>
        </w:rPr>
        <w:footnoteRef/>
      </w:r>
      <w:r w:rsidRPr="007D37B6">
        <w:rPr>
          <w:rFonts w:ascii="Times New Roman" w:hAnsi="Times New Roman" w:cs="Times New Roman"/>
          <w:sz w:val="18"/>
          <w:szCs w:val="18"/>
        </w:rPr>
        <w:t xml:space="preserve"> Para que la igualdad entre TTM se logre, debe suponerse que estas convergen hacia un esquema de costos eficientes. Es importante también, el supuesto de que las participaciones de mercado de las redes tiendan a ser similares a fin de que el peso de los costos fijos en el costo total por llamada tienda a igualarse entre operadores.  </w:t>
      </w:r>
    </w:p>
  </w:footnote>
  <w:footnote w:id="3">
    <w:p w:rsidR="00CB090E" w:rsidRPr="007D37B6" w:rsidRDefault="00CB090E" w:rsidP="00CE549B">
      <w:pPr>
        <w:pStyle w:val="Textonotapie"/>
        <w:jc w:val="both"/>
        <w:rPr>
          <w:rStyle w:val="Refdenotaalpie"/>
          <w:rFonts w:ascii="Times New Roman" w:hAnsi="Times New Roman" w:cs="Times New Roman"/>
          <w:sz w:val="18"/>
          <w:szCs w:val="18"/>
        </w:rPr>
      </w:pPr>
      <w:r w:rsidRPr="007D37B6">
        <w:rPr>
          <w:rStyle w:val="Refdenotaalpie"/>
          <w:rFonts w:ascii="Times New Roman" w:hAnsi="Times New Roman" w:cs="Times New Roman"/>
          <w:sz w:val="18"/>
          <w:szCs w:val="18"/>
        </w:rPr>
        <w:footnoteRef/>
      </w:r>
      <w:r w:rsidRPr="007D37B6">
        <w:rPr>
          <w:rFonts w:ascii="Times New Roman" w:hAnsi="Times New Roman" w:cs="Times New Roman"/>
          <w:sz w:val="18"/>
          <w:szCs w:val="18"/>
        </w:rPr>
        <w:t xml:space="preserve"> En los mercados de telecomunicaciones, los operadores ofrecen servicios de comunicación de voz y datos  a los clientes finales y acceso a sus redes a sus competidores. Los servicios mayoristas a los que se hace alusión</w:t>
      </w:r>
      <w:r>
        <w:rPr>
          <w:rFonts w:ascii="Times New Roman" w:hAnsi="Times New Roman" w:cs="Times New Roman"/>
          <w:sz w:val="18"/>
          <w:szCs w:val="18"/>
        </w:rPr>
        <w:t>,</w:t>
      </w:r>
      <w:r w:rsidRPr="007D37B6">
        <w:rPr>
          <w:rFonts w:ascii="Times New Roman" w:hAnsi="Times New Roman" w:cs="Times New Roman"/>
          <w:sz w:val="18"/>
          <w:szCs w:val="18"/>
        </w:rPr>
        <w:t xml:space="preserve"> son aquellos que se venden entre operadores de redes de telecomunicación. Normalmente se incluyen los de terminación de llamadas en las redes de otros operadores y los de tránsito de una central a otra. </w:t>
      </w:r>
      <w:r w:rsidRPr="007D37B6">
        <w:rPr>
          <w:rStyle w:val="Refdenotaalpie"/>
          <w:rFonts w:ascii="Times New Roman" w:hAnsi="Times New Roman" w:cs="Times New Roman"/>
          <w:sz w:val="18"/>
          <w:szCs w:val="18"/>
        </w:rPr>
        <w:t xml:space="preserve"> </w:t>
      </w:r>
    </w:p>
  </w:footnote>
  <w:footnote w:id="4">
    <w:p w:rsidR="00CB090E" w:rsidRPr="007D37B6" w:rsidRDefault="00CB090E" w:rsidP="00567A49">
      <w:pPr>
        <w:pStyle w:val="Textonotapie"/>
        <w:jc w:val="both"/>
        <w:rPr>
          <w:rFonts w:ascii="Times New Roman" w:hAnsi="Times New Roman" w:cs="Times New Roman"/>
          <w:sz w:val="18"/>
          <w:szCs w:val="18"/>
        </w:rPr>
      </w:pPr>
      <w:r w:rsidRPr="007D37B6">
        <w:rPr>
          <w:rStyle w:val="Refdenotaalpie"/>
          <w:rFonts w:ascii="Times New Roman" w:hAnsi="Times New Roman" w:cs="Times New Roman"/>
          <w:sz w:val="18"/>
          <w:szCs w:val="18"/>
        </w:rPr>
        <w:footnoteRef/>
      </w:r>
      <w:r w:rsidRPr="007D37B6">
        <w:rPr>
          <w:rFonts w:ascii="Times New Roman" w:hAnsi="Times New Roman" w:cs="Times New Roman"/>
          <w:sz w:val="18"/>
          <w:szCs w:val="18"/>
        </w:rPr>
        <w:t xml:space="preserve"> En México los consumidores que enfrentan cargos en dos partes (renta fija y cargo por llamada) son los que contratan el denominado servicio de prepago. Si bien las cifras que se usan en la evaluación del modelo incluyen también el consumo de post pago, que está sujeto a precios lineales, esto no afecta la aplicabilidad del modelo de </w:t>
      </w:r>
      <w:proofErr w:type="spellStart"/>
      <w:r w:rsidRPr="007D37B6">
        <w:rPr>
          <w:rFonts w:ascii="Times New Roman" w:hAnsi="Times New Roman" w:cs="Times New Roman"/>
          <w:sz w:val="18"/>
          <w:szCs w:val="18"/>
        </w:rPr>
        <w:t>Peitz</w:t>
      </w:r>
      <w:proofErr w:type="spellEnd"/>
      <w:r w:rsidRPr="007D37B6">
        <w:rPr>
          <w:rFonts w:ascii="Times New Roman" w:hAnsi="Times New Roman" w:cs="Times New Roman"/>
          <w:sz w:val="18"/>
          <w:szCs w:val="18"/>
        </w:rPr>
        <w:t xml:space="preserve">, ni tampoco la validez de las conclusiones. Lo anterior, en virtud de que las conclusiones que el autor estima son válidas también para esquemas de precios lineales. Ver </w:t>
      </w:r>
      <w:proofErr w:type="spellStart"/>
      <w:r w:rsidRPr="007D37B6">
        <w:rPr>
          <w:rFonts w:ascii="Times New Roman" w:hAnsi="Times New Roman" w:cs="Times New Roman"/>
          <w:sz w:val="18"/>
          <w:szCs w:val="18"/>
        </w:rPr>
        <w:t>Peitz</w:t>
      </w:r>
      <w:proofErr w:type="spellEnd"/>
      <w:r w:rsidRPr="007D37B6">
        <w:rPr>
          <w:rFonts w:ascii="Times New Roman" w:hAnsi="Times New Roman" w:cs="Times New Roman"/>
          <w:sz w:val="18"/>
          <w:szCs w:val="18"/>
        </w:rPr>
        <w:t xml:space="preserve"> (2005a:243). </w:t>
      </w:r>
    </w:p>
  </w:footnote>
  <w:footnote w:id="5">
    <w:p w:rsidR="00CB090E" w:rsidRPr="007D37B6" w:rsidRDefault="00CB090E" w:rsidP="003F1FCB">
      <w:pPr>
        <w:pStyle w:val="Textonotapie"/>
        <w:jc w:val="both"/>
        <w:rPr>
          <w:rFonts w:ascii="Times New Roman" w:hAnsi="Times New Roman" w:cs="Times New Roman"/>
          <w:sz w:val="18"/>
          <w:szCs w:val="18"/>
        </w:rPr>
      </w:pPr>
      <w:r w:rsidRPr="00F26DE5">
        <w:rPr>
          <w:rStyle w:val="Refdenotaalpie"/>
          <w:rFonts w:ascii="Times New Roman" w:hAnsi="Times New Roman" w:cs="Times New Roman"/>
          <w:sz w:val="22"/>
          <w:szCs w:val="22"/>
        </w:rPr>
        <w:footnoteRef/>
      </w:r>
      <w:r w:rsidRPr="00F26DE5">
        <w:rPr>
          <w:rFonts w:ascii="Times New Roman" w:hAnsi="Times New Roman" w:cs="Times New Roman"/>
          <w:sz w:val="22"/>
          <w:szCs w:val="22"/>
        </w:rPr>
        <w:t xml:space="preserve"> </w:t>
      </w:r>
      <w:proofErr w:type="spellStart"/>
      <w:r w:rsidRPr="007D37B6">
        <w:rPr>
          <w:rFonts w:ascii="Times New Roman" w:hAnsi="Times New Roman" w:cs="Times New Roman"/>
          <w:sz w:val="18"/>
          <w:szCs w:val="18"/>
        </w:rPr>
        <w:t>Peizt</w:t>
      </w:r>
      <w:proofErr w:type="spellEnd"/>
      <w:r w:rsidRPr="007D37B6">
        <w:rPr>
          <w:rFonts w:ascii="Times New Roman" w:hAnsi="Times New Roman" w:cs="Times New Roman"/>
          <w:sz w:val="18"/>
          <w:szCs w:val="18"/>
        </w:rPr>
        <w:t xml:space="preserve"> señala la posibilidad de un efecto “Cama de Agua” (</w:t>
      </w:r>
      <w:proofErr w:type="spellStart"/>
      <w:r w:rsidRPr="007D37B6">
        <w:rPr>
          <w:rFonts w:ascii="Times New Roman" w:hAnsi="Times New Roman" w:cs="Times New Roman"/>
          <w:sz w:val="18"/>
          <w:szCs w:val="18"/>
        </w:rPr>
        <w:t>Waterbed</w:t>
      </w:r>
      <w:proofErr w:type="spellEnd"/>
      <w:r w:rsidRPr="007D37B6">
        <w:rPr>
          <w:rFonts w:ascii="Times New Roman" w:hAnsi="Times New Roman" w:cs="Times New Roman"/>
          <w:sz w:val="18"/>
          <w:szCs w:val="18"/>
        </w:rPr>
        <w:t xml:space="preserve"> </w:t>
      </w:r>
      <w:proofErr w:type="spellStart"/>
      <w:r w:rsidRPr="007D37B6">
        <w:rPr>
          <w:rFonts w:ascii="Times New Roman" w:hAnsi="Times New Roman" w:cs="Times New Roman"/>
          <w:sz w:val="18"/>
          <w:szCs w:val="18"/>
        </w:rPr>
        <w:t>effect</w:t>
      </w:r>
      <w:proofErr w:type="spellEnd"/>
      <w:r w:rsidRPr="007D37B6">
        <w:rPr>
          <w:rFonts w:ascii="Times New Roman" w:hAnsi="Times New Roman" w:cs="Times New Roman"/>
          <w:sz w:val="18"/>
          <w:szCs w:val="18"/>
        </w:rPr>
        <w:t xml:space="preserve">), bajo el cual  la reducción gradual de las TTM afecta los ingresos de los operadores de tal modo que estos tratarán de compensar la pérdida elevando los precios a los consumidores, a fin de mantener su rentabilidad. Este estudio se concentra en la evaluación del efecto generado por la aplicación de TTM diferenciales y no en el que se genera al bajar gradualmente las </w:t>
      </w:r>
      <w:proofErr w:type="spellStart"/>
      <w:r w:rsidRPr="007D37B6">
        <w:rPr>
          <w:rFonts w:ascii="Times New Roman" w:hAnsi="Times New Roman" w:cs="Times New Roman"/>
          <w:sz w:val="18"/>
          <w:szCs w:val="18"/>
        </w:rPr>
        <w:t>TTMs</w:t>
      </w:r>
      <w:proofErr w:type="spellEnd"/>
      <w:r w:rsidRPr="007D37B6">
        <w:rPr>
          <w:rFonts w:ascii="Times New Roman" w:hAnsi="Times New Roman" w:cs="Times New Roman"/>
          <w:sz w:val="18"/>
          <w:szCs w:val="18"/>
        </w:rPr>
        <w:t xml:space="preserve">. </w:t>
      </w:r>
    </w:p>
  </w:footnote>
  <w:footnote w:id="6">
    <w:p w:rsidR="00CB090E" w:rsidRPr="007D37B6" w:rsidRDefault="00CB090E" w:rsidP="003F1FCB">
      <w:pPr>
        <w:pStyle w:val="Textonotapie"/>
        <w:jc w:val="both"/>
        <w:rPr>
          <w:rFonts w:ascii="Times New Roman" w:hAnsi="Times New Roman" w:cs="Times New Roman"/>
          <w:sz w:val="18"/>
          <w:szCs w:val="18"/>
        </w:rPr>
      </w:pPr>
      <w:r w:rsidRPr="007D37B6">
        <w:rPr>
          <w:rStyle w:val="Refdenotaalpie"/>
          <w:rFonts w:ascii="Times New Roman" w:hAnsi="Times New Roman" w:cs="Times New Roman"/>
          <w:sz w:val="18"/>
          <w:szCs w:val="18"/>
        </w:rPr>
        <w:footnoteRef/>
      </w:r>
      <w:r w:rsidRPr="007D37B6">
        <w:rPr>
          <w:rFonts w:ascii="Times New Roman" w:hAnsi="Times New Roman" w:cs="Times New Roman"/>
          <w:sz w:val="18"/>
          <w:szCs w:val="18"/>
        </w:rPr>
        <w:t xml:space="preserve"> </w:t>
      </w:r>
      <w:proofErr w:type="spellStart"/>
      <w:r w:rsidRPr="007D37B6">
        <w:rPr>
          <w:rFonts w:ascii="Times New Roman" w:hAnsi="Times New Roman" w:cs="Times New Roman"/>
          <w:sz w:val="18"/>
          <w:szCs w:val="18"/>
        </w:rPr>
        <w:t>Peitz</w:t>
      </w:r>
      <w:proofErr w:type="spellEnd"/>
      <w:r w:rsidRPr="007D37B6">
        <w:rPr>
          <w:rFonts w:ascii="Times New Roman" w:hAnsi="Times New Roman" w:cs="Times New Roman"/>
          <w:sz w:val="18"/>
          <w:szCs w:val="18"/>
        </w:rPr>
        <w:t xml:space="preserve"> considera que los operadores reducirán las cuotas fijas, pues supone que los cargos variables  son cercanos a su costo. </w:t>
      </w:r>
    </w:p>
  </w:footnote>
  <w:footnote w:id="7">
    <w:p w:rsidR="00CB090E" w:rsidRPr="007D37B6" w:rsidRDefault="00CB090E" w:rsidP="00FA64C3">
      <w:pPr>
        <w:pStyle w:val="Textonotapie"/>
        <w:jc w:val="both"/>
        <w:rPr>
          <w:rFonts w:ascii="Times New Roman" w:hAnsi="Times New Roman" w:cs="Times New Roman"/>
          <w:sz w:val="18"/>
          <w:szCs w:val="18"/>
        </w:rPr>
      </w:pPr>
      <w:r w:rsidRPr="007D37B6">
        <w:rPr>
          <w:rStyle w:val="Refdenotaalpie"/>
          <w:rFonts w:ascii="Times New Roman" w:hAnsi="Times New Roman" w:cs="Times New Roman"/>
          <w:sz w:val="18"/>
          <w:szCs w:val="18"/>
        </w:rPr>
        <w:footnoteRef/>
      </w:r>
      <w:r w:rsidRPr="007D37B6">
        <w:rPr>
          <w:rFonts w:ascii="Times New Roman" w:hAnsi="Times New Roman" w:cs="Times New Roman"/>
          <w:sz w:val="18"/>
          <w:szCs w:val="18"/>
        </w:rPr>
        <w:t xml:space="preserve"> </w:t>
      </w:r>
      <w:proofErr w:type="spellStart"/>
      <w:r w:rsidRPr="007D37B6">
        <w:rPr>
          <w:rFonts w:ascii="Times New Roman" w:hAnsi="Times New Roman" w:cs="Times New Roman"/>
          <w:sz w:val="18"/>
          <w:szCs w:val="18"/>
        </w:rPr>
        <w:t>Peitz</w:t>
      </w:r>
      <w:proofErr w:type="spellEnd"/>
      <w:r w:rsidRPr="007D37B6">
        <w:rPr>
          <w:rFonts w:ascii="Times New Roman" w:hAnsi="Times New Roman" w:cs="Times New Roman"/>
          <w:sz w:val="18"/>
          <w:szCs w:val="18"/>
        </w:rPr>
        <w:t xml:space="preserve"> supone que las participaciones de mercado de ambas empresas son similares, y que pueden aplicar cargos variables (por minuto) diferentes en función de si se trata de  comunicaciones en su misma red o fuera de esta. Supone que los tráficos son balanceados, esto es, que un consumidor obtiene beneficio de otra llamada independientemente de su origen, en o fuera de su red. También supone que las asimetrías entre preponderante y entrante son propias del tiempo de posicionamiento en el mercado del primero, y no por las características de servicio del entrante. También que la TTM del operador entrante se encuentra inicialmente a nivel costos. Estos supuestos son en general válidos para el caso mexicano.</w:t>
      </w:r>
    </w:p>
  </w:footnote>
  <w:footnote w:id="8">
    <w:p w:rsidR="00CB090E" w:rsidRPr="007D37B6" w:rsidRDefault="00CB090E" w:rsidP="0086295F">
      <w:pPr>
        <w:pStyle w:val="Textonotapie"/>
        <w:jc w:val="both"/>
        <w:rPr>
          <w:rFonts w:ascii="Times New Roman" w:hAnsi="Times New Roman" w:cs="Times New Roman"/>
          <w:sz w:val="18"/>
          <w:szCs w:val="18"/>
        </w:rPr>
      </w:pPr>
      <w:r w:rsidRPr="007D37B6">
        <w:rPr>
          <w:rStyle w:val="Refdenotaalpie"/>
          <w:rFonts w:ascii="Times New Roman" w:hAnsi="Times New Roman" w:cs="Times New Roman"/>
          <w:sz w:val="18"/>
          <w:szCs w:val="18"/>
        </w:rPr>
        <w:footnoteRef/>
      </w:r>
      <w:r w:rsidRPr="007D37B6">
        <w:rPr>
          <w:rFonts w:ascii="Times New Roman" w:hAnsi="Times New Roman" w:cs="Times New Roman"/>
          <w:sz w:val="18"/>
          <w:szCs w:val="18"/>
        </w:rPr>
        <w:t xml:space="preserve"> </w:t>
      </w:r>
      <w:proofErr w:type="spellStart"/>
      <w:r w:rsidRPr="007D37B6">
        <w:rPr>
          <w:rFonts w:ascii="Times New Roman" w:hAnsi="Times New Roman" w:cs="Times New Roman"/>
          <w:sz w:val="18"/>
          <w:szCs w:val="18"/>
        </w:rPr>
        <w:t>Baranes</w:t>
      </w:r>
      <w:proofErr w:type="spellEnd"/>
      <w:r w:rsidRPr="007D37B6">
        <w:rPr>
          <w:rFonts w:ascii="Times New Roman" w:hAnsi="Times New Roman" w:cs="Times New Roman"/>
          <w:sz w:val="18"/>
          <w:szCs w:val="18"/>
        </w:rPr>
        <w:t xml:space="preserve"> et al estiman 12 modelos diferentes utilizando diferentes técnicas econométricas: 6 de ellos con MCP y 6 con variables instrumentales. A  partir de ellos estiman consistentemente el mismo resultado, aunque la magnitud del cambio toma valores de 0.14 a 0.27 por cada 1% de cambio en la TTR.</w:t>
      </w:r>
    </w:p>
  </w:footnote>
  <w:footnote w:id="9">
    <w:p w:rsidR="00CB090E" w:rsidRPr="007D37B6" w:rsidRDefault="00CB090E" w:rsidP="0086295F">
      <w:pPr>
        <w:pStyle w:val="Textonotapie"/>
        <w:jc w:val="both"/>
        <w:rPr>
          <w:rFonts w:ascii="Times New Roman" w:hAnsi="Times New Roman" w:cs="Times New Roman"/>
          <w:sz w:val="18"/>
          <w:szCs w:val="18"/>
        </w:rPr>
      </w:pPr>
      <w:r w:rsidRPr="007D37B6">
        <w:rPr>
          <w:rStyle w:val="Refdenotaalpie"/>
          <w:rFonts w:ascii="Times New Roman" w:hAnsi="Times New Roman" w:cs="Times New Roman"/>
          <w:sz w:val="18"/>
          <w:szCs w:val="18"/>
        </w:rPr>
        <w:footnoteRef/>
      </w:r>
      <w:r w:rsidRPr="007D37B6">
        <w:rPr>
          <w:rFonts w:ascii="Times New Roman" w:hAnsi="Times New Roman" w:cs="Times New Roman"/>
          <w:sz w:val="18"/>
          <w:szCs w:val="18"/>
        </w:rPr>
        <w:t xml:space="preserve"> Esta conclusión de </w:t>
      </w:r>
      <w:proofErr w:type="spellStart"/>
      <w:r w:rsidRPr="007D37B6">
        <w:rPr>
          <w:rFonts w:ascii="Times New Roman" w:hAnsi="Times New Roman" w:cs="Times New Roman"/>
          <w:sz w:val="18"/>
          <w:szCs w:val="18"/>
        </w:rPr>
        <w:t>Baranes</w:t>
      </w:r>
      <w:proofErr w:type="spellEnd"/>
      <w:r w:rsidRPr="007D37B6">
        <w:rPr>
          <w:rFonts w:ascii="Times New Roman" w:hAnsi="Times New Roman" w:cs="Times New Roman"/>
          <w:sz w:val="18"/>
          <w:szCs w:val="18"/>
        </w:rPr>
        <w:t xml:space="preserve"> et al sugiere que no se comprueba en este caso el efecto “Cama de Agua”.</w:t>
      </w:r>
    </w:p>
  </w:footnote>
  <w:footnote w:id="10">
    <w:p w:rsidR="00CB090E" w:rsidRPr="000920F6" w:rsidRDefault="00CB090E">
      <w:pPr>
        <w:pStyle w:val="Textonotapie"/>
        <w:rPr>
          <w:rFonts w:ascii="Times New Roman" w:hAnsi="Times New Roman" w:cs="Times New Roman"/>
        </w:rPr>
      </w:pPr>
      <w:r w:rsidRPr="000920F6">
        <w:rPr>
          <w:rStyle w:val="Refdenotaalpie"/>
          <w:rFonts w:ascii="Times New Roman" w:hAnsi="Times New Roman" w:cs="Times New Roman"/>
        </w:rPr>
        <w:footnoteRef/>
      </w:r>
      <w:r w:rsidRPr="000920F6">
        <w:rPr>
          <w:rFonts w:ascii="Times New Roman" w:hAnsi="Times New Roman" w:cs="Times New Roman"/>
        </w:rPr>
        <w:t xml:space="preserve"> </w:t>
      </w:r>
      <w:r w:rsidRPr="007D37B6">
        <w:rPr>
          <w:rFonts w:ascii="Times New Roman" w:hAnsi="Times New Roman" w:cs="Times New Roman"/>
          <w:sz w:val="18"/>
          <w:szCs w:val="18"/>
        </w:rPr>
        <w:t xml:space="preserve">Entre otros muchos autores, </w:t>
      </w:r>
      <w:proofErr w:type="spellStart"/>
      <w:r w:rsidRPr="007D37B6">
        <w:rPr>
          <w:rFonts w:ascii="Times New Roman" w:hAnsi="Times New Roman" w:cs="Times New Roman"/>
          <w:sz w:val="18"/>
          <w:szCs w:val="18"/>
        </w:rPr>
        <w:t>Hausman</w:t>
      </w:r>
      <w:proofErr w:type="spellEnd"/>
      <w:r w:rsidRPr="007D37B6">
        <w:rPr>
          <w:rFonts w:ascii="Times New Roman" w:hAnsi="Times New Roman" w:cs="Times New Roman"/>
          <w:sz w:val="18"/>
          <w:szCs w:val="18"/>
        </w:rPr>
        <w:t>, J. y Ros, A. (2013) utilizan el ingreso por minuto como indicador del precio del servicio de voz móvil.</w:t>
      </w:r>
      <w:r w:rsidRPr="000920F6">
        <w:rPr>
          <w:rFonts w:ascii="Times New Roman" w:hAnsi="Times New Roman" w:cs="Times New Roman"/>
        </w:rPr>
        <w:t xml:space="preserve"> </w:t>
      </w:r>
    </w:p>
  </w:footnote>
  <w:footnote w:id="11">
    <w:p w:rsidR="00CB090E" w:rsidRPr="007D37B6" w:rsidRDefault="00CB090E" w:rsidP="00B7545B">
      <w:pPr>
        <w:shd w:val="clear" w:color="auto" w:fill="FFFFFF"/>
        <w:spacing w:after="0"/>
        <w:jc w:val="both"/>
        <w:rPr>
          <w:rFonts w:ascii="Times New Roman" w:eastAsia="Times New Roman" w:hAnsi="Times New Roman" w:cs="Times New Roman"/>
          <w:color w:val="000000"/>
          <w:sz w:val="18"/>
          <w:szCs w:val="18"/>
          <w:lang w:eastAsia="es-MX"/>
        </w:rPr>
      </w:pPr>
      <w:r w:rsidRPr="00D61B68">
        <w:rPr>
          <w:rStyle w:val="Refdenotaalpie"/>
        </w:rPr>
        <w:footnoteRef/>
      </w:r>
      <m:oMath>
        <m:r>
          <m:rPr>
            <m:sty m:val="p"/>
          </m:rPr>
          <w:rPr>
            <w:rFonts w:ascii="Cambria Math" w:hAnsi="Cambria Math" w:cs="Times New Roman"/>
            <w:sz w:val="18"/>
            <w:szCs w:val="18"/>
          </w:rPr>
          <m:t xml:space="preserve"> El Índice Herfindahl Hirshman en el period</m:t>
        </m:r>
        <m:sSub>
          <m:sSubPr>
            <m:ctrlPr>
              <w:rPr>
                <w:rFonts w:ascii="Cambria Math" w:hAnsi="Cambria Math" w:cs="Times New Roman"/>
                <w:sz w:val="18"/>
                <w:szCs w:val="18"/>
              </w:rPr>
            </m:ctrlPr>
          </m:sSubPr>
          <m:e>
            <m:r>
              <m:rPr>
                <m:sty m:val="p"/>
              </m:rPr>
              <w:rPr>
                <w:rFonts w:ascii="Cambria Math" w:hAnsi="Cambria Math" w:cs="Times New Roman"/>
                <w:sz w:val="18"/>
                <w:szCs w:val="18"/>
              </w:rPr>
              <m:t>o</m:t>
            </m:r>
          </m:e>
          <m:sub>
            <m:r>
              <w:rPr>
                <w:rFonts w:ascii="Cambria Math" w:hAnsi="Cambria Math" w:cs="Times New Roman"/>
                <w:sz w:val="18"/>
                <w:szCs w:val="18"/>
              </w:rPr>
              <m:t>t</m:t>
            </m:r>
          </m:sub>
        </m:sSub>
        <m:r>
          <m:rPr>
            <m:sty m:val="p"/>
          </m:rPr>
          <w:rPr>
            <w:rFonts w:ascii="Cambria Math" w:hAnsi="Cambria Math" w:cs="Times New Roman"/>
            <w:sz w:val="18"/>
            <w:szCs w:val="18"/>
          </w:rPr>
          <m:t xml:space="preserve"> es  IH</m:t>
        </m:r>
        <m:sSub>
          <m:sSubPr>
            <m:ctrlPr>
              <w:rPr>
                <w:rFonts w:ascii="Cambria Math" w:hAnsi="Cambria Math" w:cs="Times New Roman"/>
                <w:sz w:val="18"/>
                <w:szCs w:val="18"/>
              </w:rPr>
            </m:ctrlPr>
          </m:sSubPr>
          <m:e>
            <m:r>
              <m:rPr>
                <m:sty m:val="p"/>
              </m:rPr>
              <w:rPr>
                <w:rFonts w:ascii="Cambria Math" w:hAnsi="Cambria Math" w:cs="Times New Roman"/>
                <w:sz w:val="18"/>
                <w:szCs w:val="18"/>
              </w:rPr>
              <m:t>H</m:t>
            </m:r>
          </m:e>
          <m:sub>
            <m:r>
              <w:rPr>
                <w:rFonts w:ascii="Cambria Math" w:hAnsi="Cambria Math" w:cs="Times New Roman"/>
                <w:sz w:val="18"/>
                <w:szCs w:val="18"/>
              </w:rPr>
              <m:t>t</m:t>
            </m:r>
          </m:sub>
        </m:sSub>
        <m:r>
          <m:rPr>
            <m:sty m:val="p"/>
          </m:rPr>
          <w:rPr>
            <w:rFonts w:ascii="Cambria Math" w:hAnsi="Cambria Math" w:cs="Times New Roman"/>
            <w:sz w:val="18"/>
            <w:szCs w:val="18"/>
          </w:rPr>
          <m:t xml:space="preserve"> =</m:t>
        </m:r>
        <m:nary>
          <m:naryPr>
            <m:chr m:val="∑"/>
            <m:limLoc m:val="undOvr"/>
            <m:ctrlPr>
              <w:rPr>
                <w:rFonts w:ascii="Cambria Math" w:hAnsi="Cambria Math" w:cs="Times New Roman"/>
                <w:sz w:val="18"/>
                <w:szCs w:val="18"/>
              </w:rPr>
            </m:ctrlPr>
          </m:naryPr>
          <m:sub>
            <m:r>
              <w:rPr>
                <w:rFonts w:ascii="Cambria Math" w:hAnsi="Cambria Math" w:cs="Times New Roman"/>
                <w:sz w:val="18"/>
                <w:szCs w:val="18"/>
              </w:rPr>
              <m:t>j=1</m:t>
            </m:r>
          </m:sub>
          <m:sup>
            <m:r>
              <w:rPr>
                <w:rFonts w:ascii="Cambria Math" w:hAnsi="Cambria Math" w:cs="Times New Roman"/>
                <w:sz w:val="18"/>
                <w:szCs w:val="18"/>
              </w:rPr>
              <m:t>n</m:t>
            </m:r>
          </m:sup>
          <m:e>
            <m:sSubSup>
              <m:sSubSupPr>
                <m:ctrlPr>
                  <w:rPr>
                    <w:rFonts w:ascii="Cambria Math" w:eastAsia="Times New Roman" w:hAnsi="Cambria Math" w:cs="Times New Roman"/>
                    <w:color w:val="000000"/>
                    <w:sz w:val="18"/>
                    <w:szCs w:val="18"/>
                    <w:lang w:eastAsia="es-MX"/>
                  </w:rPr>
                </m:ctrlPr>
              </m:sSubSupPr>
              <m:e>
                <m:r>
                  <m:rPr>
                    <m:sty m:val="p"/>
                  </m:rPr>
                  <w:rPr>
                    <w:rFonts w:ascii="Cambria Math" w:eastAsia="Times New Roman" w:hAnsi="Cambria Math" w:cs="Times New Roman"/>
                    <w:color w:val="000000"/>
                    <w:sz w:val="18"/>
                    <w:szCs w:val="18"/>
                    <w:lang w:eastAsia="es-MX"/>
                  </w:rPr>
                  <m:t>p</m:t>
                </m:r>
              </m:e>
              <m:sub>
                <m:r>
                  <m:rPr>
                    <m:sty m:val="p"/>
                  </m:rPr>
                  <w:rPr>
                    <w:rFonts w:ascii="Cambria Math" w:eastAsia="Times New Roman" w:hAnsi="Cambria Math" w:cs="Times New Roman"/>
                    <w:color w:val="000000"/>
                    <w:sz w:val="18"/>
                    <w:szCs w:val="18"/>
                    <w:lang w:eastAsia="es-MX"/>
                  </w:rPr>
                  <m:t>jt</m:t>
                </m:r>
              </m:sub>
              <m:sup>
                <m:r>
                  <m:rPr>
                    <m:sty m:val="p"/>
                  </m:rPr>
                  <w:rPr>
                    <w:rFonts w:ascii="Cambria Math" w:eastAsia="Times New Roman" w:hAnsi="Cambria Math" w:cs="Times New Roman"/>
                    <w:color w:val="000000"/>
                    <w:sz w:val="18"/>
                    <w:szCs w:val="18"/>
                    <w:lang w:eastAsia="es-MX"/>
                  </w:rPr>
                  <m:t>2</m:t>
                </m:r>
              </m:sup>
            </m:sSubSup>
            <m:r>
              <w:rPr>
                <w:rFonts w:ascii="Cambria Math" w:eastAsia="Times New Roman" w:hAnsi="Cambria Math" w:cs="Times New Roman"/>
                <w:color w:val="000000"/>
                <w:sz w:val="18"/>
                <w:szCs w:val="18"/>
                <w:lang w:eastAsia="es-MX"/>
              </w:rPr>
              <m:t xml:space="preserve"> </m:t>
            </m:r>
          </m:e>
        </m:nary>
      </m:oMath>
      <w:r w:rsidRPr="00971251">
        <w:rPr>
          <w:rFonts w:ascii="Times New Roman" w:eastAsiaTheme="minorEastAsia" w:hAnsi="Times New Roman" w:cs="Times New Roman"/>
          <w:i/>
          <w:color w:val="000000"/>
          <w:sz w:val="20"/>
          <w:szCs w:val="20"/>
          <w:lang w:eastAsia="es-MX"/>
        </w:rPr>
        <w:t xml:space="preserve">, </w:t>
      </w:r>
      <w:r>
        <w:rPr>
          <w:rFonts w:ascii="Times New Roman" w:eastAsiaTheme="minorEastAsia" w:hAnsi="Times New Roman" w:cs="Times New Roman"/>
          <w:color w:val="000000"/>
          <w:sz w:val="18"/>
          <w:szCs w:val="18"/>
          <w:lang w:eastAsia="es-MX"/>
        </w:rPr>
        <w:t>donde</w:t>
      </w:r>
      <w:r w:rsidRPr="005B644D">
        <w:rPr>
          <w:rFonts w:ascii="Times New Roman" w:eastAsiaTheme="minorEastAsia" w:hAnsi="Times New Roman" w:cs="Times New Roman"/>
          <w:color w:val="000000"/>
          <w:sz w:val="18"/>
          <w:szCs w:val="18"/>
          <w:lang w:eastAsia="es-MX"/>
        </w:rPr>
        <w:t xml:space="preserve"> </w:t>
      </w:r>
      <m:oMath>
        <m:sSub>
          <m:sSubPr>
            <m:ctrlPr>
              <w:rPr>
                <w:rFonts w:ascii="Cambria Math" w:eastAsiaTheme="minorEastAsia" w:hAnsi="Cambria Math" w:cs="Times New Roman"/>
                <w:sz w:val="18"/>
                <w:szCs w:val="18"/>
              </w:rPr>
            </m:ctrlPr>
          </m:sSubPr>
          <m:e>
            <m:r>
              <w:rPr>
                <w:rFonts w:ascii="Cambria Math" w:eastAsiaTheme="minorEastAsia" w:hAnsi="Cambria Math" w:cs="Times New Roman"/>
                <w:sz w:val="18"/>
                <w:szCs w:val="18"/>
              </w:rPr>
              <m:t>p</m:t>
            </m:r>
          </m:e>
          <m:sub>
            <m:r>
              <w:rPr>
                <w:rFonts w:ascii="Cambria Math" w:eastAsiaTheme="minorEastAsia" w:hAnsi="Cambria Math" w:cs="Times New Roman"/>
                <w:sz w:val="18"/>
                <w:szCs w:val="18"/>
              </w:rPr>
              <m:t xml:space="preserve">jt </m:t>
            </m:r>
          </m:sub>
        </m:sSub>
      </m:oMath>
      <w:r w:rsidRPr="007D37B6">
        <w:rPr>
          <w:rFonts w:ascii="Times New Roman" w:eastAsiaTheme="minorEastAsia" w:hAnsi="Times New Roman" w:cs="Times New Roman"/>
          <w:color w:val="000000"/>
          <w:sz w:val="18"/>
          <w:szCs w:val="18"/>
          <w:lang w:eastAsia="es-MX"/>
        </w:rPr>
        <w:t xml:space="preserve">es la participación de mercado del operador j (preponderante y </w:t>
      </w:r>
      <w:proofErr w:type="gramStart"/>
      <w:r w:rsidRPr="007D37B6">
        <w:rPr>
          <w:rFonts w:ascii="Times New Roman" w:eastAsiaTheme="minorEastAsia" w:hAnsi="Times New Roman" w:cs="Times New Roman"/>
          <w:color w:val="000000"/>
          <w:sz w:val="18"/>
          <w:szCs w:val="18"/>
          <w:lang w:eastAsia="es-MX"/>
        </w:rPr>
        <w:t>entrantes</w:t>
      </w:r>
      <w:proofErr w:type="gramEnd"/>
      <w:r>
        <w:rPr>
          <w:rFonts w:ascii="Times New Roman" w:eastAsiaTheme="minorEastAsia" w:hAnsi="Times New Roman" w:cs="Times New Roman"/>
          <w:color w:val="000000"/>
          <w:sz w:val="18"/>
          <w:szCs w:val="18"/>
          <w:lang w:eastAsia="es-MX"/>
        </w:rPr>
        <w:t>)</w:t>
      </w:r>
      <w:r w:rsidRPr="007D37B6">
        <w:rPr>
          <w:rFonts w:ascii="Times New Roman" w:eastAsiaTheme="minorEastAsia" w:hAnsi="Times New Roman" w:cs="Times New Roman"/>
          <w:color w:val="000000"/>
          <w:sz w:val="18"/>
          <w:szCs w:val="18"/>
          <w:lang w:eastAsia="es-MX"/>
        </w:rPr>
        <w:t xml:space="preserve"> en el periodo t. </w:t>
      </w:r>
    </w:p>
  </w:footnote>
  <w:footnote w:id="12">
    <w:p w:rsidR="00CB090E" w:rsidRPr="007D37B6" w:rsidRDefault="00CB090E">
      <w:pPr>
        <w:pStyle w:val="Textonotapie"/>
        <w:rPr>
          <w:rFonts w:ascii="Times New Roman" w:hAnsi="Times New Roman" w:cs="Times New Roman"/>
          <w:sz w:val="18"/>
          <w:szCs w:val="18"/>
        </w:rPr>
      </w:pPr>
      <w:r w:rsidRPr="007F2503">
        <w:rPr>
          <w:rStyle w:val="Refdenotaalpie"/>
          <w:rFonts w:ascii="Times New Roman" w:hAnsi="Times New Roman" w:cs="Times New Roman"/>
        </w:rPr>
        <w:footnoteRef/>
      </w:r>
      <w:r w:rsidRPr="007F2503">
        <w:rPr>
          <w:rFonts w:ascii="Times New Roman" w:hAnsi="Times New Roman" w:cs="Times New Roman"/>
        </w:rPr>
        <w:t xml:space="preserve"> </w:t>
      </w:r>
      <w:r w:rsidRPr="007D37B6">
        <w:rPr>
          <w:rFonts w:ascii="Times New Roman" w:hAnsi="Times New Roman" w:cs="Times New Roman"/>
          <w:sz w:val="18"/>
          <w:szCs w:val="18"/>
        </w:rPr>
        <w:t xml:space="preserve">La nomenclatura que se usa es la utilizada originalmente por </w:t>
      </w:r>
      <w:proofErr w:type="spellStart"/>
      <w:r w:rsidRPr="007D37B6">
        <w:rPr>
          <w:rFonts w:ascii="Times New Roman" w:hAnsi="Times New Roman" w:cs="Times New Roman"/>
          <w:sz w:val="18"/>
          <w:szCs w:val="18"/>
        </w:rPr>
        <w:t>Baranes</w:t>
      </w:r>
      <w:proofErr w:type="spellEnd"/>
      <w:r w:rsidRPr="007D37B6">
        <w:rPr>
          <w:rFonts w:ascii="Times New Roman" w:hAnsi="Times New Roman" w:cs="Times New Roman"/>
          <w:sz w:val="18"/>
          <w:szCs w:val="18"/>
        </w:rPr>
        <w:t xml:space="preserve"> et al, y sólo en lo que se refiere al indicadores AR se aplicó una simplificación a fin de hacer más ligera la lectura. </w:t>
      </w:r>
    </w:p>
  </w:footnote>
  <w:footnote w:id="13">
    <w:p w:rsidR="00CB090E" w:rsidRPr="007D37B6" w:rsidRDefault="00CB090E" w:rsidP="00915B7F">
      <w:pPr>
        <w:pStyle w:val="Textonotapie"/>
        <w:rPr>
          <w:sz w:val="18"/>
          <w:szCs w:val="18"/>
        </w:rPr>
      </w:pPr>
      <w:r>
        <w:rPr>
          <w:rStyle w:val="Refdenotaalpie"/>
        </w:rPr>
        <w:footnoteRef/>
      </w:r>
      <w:r>
        <w:t xml:space="preserve"> </w:t>
      </w:r>
      <m:oMath>
        <m:sSubSup>
          <m:sSubSupPr>
            <m:ctrlPr>
              <w:rPr>
                <w:rFonts w:ascii="Cambria Math" w:eastAsiaTheme="minorEastAsia" w:hAnsi="Cambria Math" w:cs="Times New Roman"/>
                <w:b/>
                <w:sz w:val="18"/>
                <w:szCs w:val="18"/>
              </w:rPr>
            </m:ctrlPr>
          </m:sSubSupPr>
          <m:e>
            <m:r>
              <m:rPr>
                <m:sty m:val="b"/>
              </m:rPr>
              <w:rPr>
                <w:rFonts w:ascii="Cambria Math" w:eastAsiaTheme="minorEastAsia" w:hAnsi="Cambria Math" w:cs="Times New Roman"/>
                <w:sz w:val="18"/>
                <w:szCs w:val="18"/>
              </w:rPr>
              <m:t>AR</m:t>
            </m:r>
          </m:e>
          <m:sub>
            <m:r>
              <m:rPr>
                <m:sty m:val="b"/>
              </m:rPr>
              <w:rPr>
                <w:rFonts w:ascii="Cambria Math" w:eastAsiaTheme="minorEastAsia" w:hAnsi="Cambria Math" w:cs="Times New Roman"/>
                <w:sz w:val="18"/>
                <w:szCs w:val="18"/>
              </w:rPr>
              <m:t>t</m:t>
            </m:r>
          </m:sub>
          <m:sup>
            <m:r>
              <m:rPr>
                <m:sty m:val="b"/>
              </m:rPr>
              <w:rPr>
                <w:rFonts w:ascii="Cambria Math" w:eastAsiaTheme="minorEastAsia" w:hAnsi="Cambria Math" w:cs="Times New Roman"/>
                <w:sz w:val="18"/>
                <w:szCs w:val="18"/>
              </w:rPr>
              <m:t>E/I</m:t>
            </m:r>
          </m:sup>
        </m:sSubSup>
      </m:oMath>
      <w:r w:rsidRPr="005D226A">
        <w:rPr>
          <w:rFonts w:ascii="Times New Roman" w:eastAsiaTheme="minorEastAsia" w:hAnsi="Times New Roman" w:cs="Times New Roman"/>
          <w:b/>
          <w:sz w:val="24"/>
          <w:szCs w:val="24"/>
        </w:rPr>
        <w:t xml:space="preserve"> </w:t>
      </w:r>
      <w:r w:rsidRPr="007D37B6">
        <w:rPr>
          <w:rFonts w:ascii="Times New Roman" w:eastAsiaTheme="minorEastAsia" w:hAnsi="Times New Roman" w:cs="Times New Roman"/>
          <w:sz w:val="18"/>
          <w:szCs w:val="18"/>
        </w:rPr>
        <w:t xml:space="preserve">es definida por </w:t>
      </w:r>
      <w:proofErr w:type="spellStart"/>
      <w:r w:rsidRPr="007D37B6">
        <w:rPr>
          <w:rFonts w:ascii="Times New Roman" w:eastAsiaTheme="minorEastAsia" w:hAnsi="Times New Roman" w:cs="Times New Roman"/>
          <w:sz w:val="18"/>
          <w:szCs w:val="18"/>
        </w:rPr>
        <w:t>Baranes</w:t>
      </w:r>
      <w:proofErr w:type="spellEnd"/>
      <w:r w:rsidRPr="007D37B6">
        <w:rPr>
          <w:rFonts w:ascii="Times New Roman" w:eastAsiaTheme="minorEastAsia" w:hAnsi="Times New Roman" w:cs="Times New Roman"/>
          <w:sz w:val="18"/>
          <w:szCs w:val="18"/>
        </w:rPr>
        <w:t xml:space="preserve"> como</w:t>
      </w:r>
      <w:r w:rsidRPr="005D226A">
        <w:rPr>
          <w:rFonts w:ascii="Times New Roman" w:eastAsiaTheme="minorEastAsia" w:hAnsi="Times New Roman" w:cs="Times New Roman"/>
          <w:sz w:val="24"/>
          <w:szCs w:val="24"/>
        </w:rPr>
        <w:t xml:space="preserve"> </w:t>
      </w:r>
      <m:oMath>
        <m:sSubSup>
          <m:sSubSupPr>
            <m:ctrlPr>
              <w:rPr>
                <w:rFonts w:ascii="Cambria Math" w:eastAsiaTheme="minorEastAsia" w:hAnsi="Cambria Math" w:cs="Times New Roman"/>
                <w:b/>
                <w:sz w:val="18"/>
                <w:szCs w:val="18"/>
              </w:rPr>
            </m:ctrlPr>
          </m:sSubSupPr>
          <m:e>
            <m:r>
              <m:rPr>
                <m:sty m:val="b"/>
              </m:rPr>
              <w:rPr>
                <w:rFonts w:ascii="Cambria Math" w:eastAsiaTheme="minorEastAsia" w:hAnsi="Cambria Math" w:cs="Times New Roman"/>
                <w:sz w:val="18"/>
                <w:szCs w:val="18"/>
              </w:rPr>
              <m:t>AR</m:t>
            </m:r>
          </m:e>
          <m:sub>
            <m:r>
              <m:rPr>
                <m:sty m:val="b"/>
              </m:rPr>
              <w:rPr>
                <w:rFonts w:ascii="Cambria Math" w:eastAsiaTheme="minorEastAsia" w:hAnsi="Cambria Math" w:cs="Times New Roman"/>
                <w:sz w:val="18"/>
                <w:szCs w:val="18"/>
              </w:rPr>
              <m:t>t</m:t>
            </m:r>
          </m:sub>
          <m:sup>
            <m:r>
              <m:rPr>
                <m:sty m:val="b"/>
              </m:rPr>
              <w:rPr>
                <w:rFonts w:ascii="Cambria Math" w:eastAsiaTheme="minorEastAsia" w:hAnsi="Cambria Math" w:cs="Times New Roman"/>
                <w:sz w:val="18"/>
                <w:szCs w:val="18"/>
              </w:rPr>
              <m:t>I</m:t>
            </m:r>
          </m:sup>
        </m:sSubSup>
        <m:r>
          <m:rPr>
            <m:sty m:val="b"/>
          </m:rPr>
          <w:rPr>
            <w:rFonts w:ascii="Cambria Math" w:eastAsiaTheme="minorEastAsia" w:hAnsi="Cambria Math" w:cs="Times New Roman"/>
            <w:sz w:val="18"/>
            <w:szCs w:val="18"/>
          </w:rPr>
          <m:t>=</m:t>
        </m:r>
        <m:nary>
          <m:naryPr>
            <m:chr m:val="∑"/>
            <m:limLoc m:val="undOvr"/>
            <m:supHide m:val="1"/>
            <m:ctrlPr>
              <w:rPr>
                <w:rFonts w:ascii="Cambria Math" w:eastAsiaTheme="minorEastAsia" w:hAnsi="Cambria Math" w:cs="Times New Roman"/>
                <w:b/>
                <w:sz w:val="18"/>
                <w:szCs w:val="18"/>
              </w:rPr>
            </m:ctrlPr>
          </m:naryPr>
          <m:sub>
            <m:r>
              <m:rPr>
                <m:sty m:val="b"/>
              </m:rPr>
              <w:rPr>
                <w:rFonts w:ascii="Cambria Math" w:eastAsiaTheme="minorEastAsia" w:hAnsi="Cambria Math" w:cs="Times New Roman"/>
                <w:sz w:val="18"/>
                <w:szCs w:val="18"/>
              </w:rPr>
              <m:t>i</m:t>
            </m:r>
          </m:sub>
          <m:sup/>
          <m:e>
            <m:r>
              <m:rPr>
                <m:sty m:val="b"/>
              </m:rPr>
              <w:rPr>
                <w:rFonts w:ascii="Cambria Math" w:eastAsiaTheme="minorEastAsia" w:hAnsi="Cambria Math" w:cs="Times New Roman"/>
                <w:sz w:val="18"/>
                <w:szCs w:val="18"/>
              </w:rPr>
              <m:t>(</m:t>
            </m:r>
            <m:sSub>
              <m:sSubPr>
                <m:ctrlPr>
                  <w:rPr>
                    <w:rFonts w:ascii="Cambria Math" w:eastAsiaTheme="minorEastAsia" w:hAnsi="Cambria Math" w:cs="Times New Roman"/>
                    <w:b/>
                    <w:sz w:val="18"/>
                    <w:szCs w:val="18"/>
                  </w:rPr>
                </m:ctrlPr>
              </m:sSubPr>
              <m:e>
                <m:r>
                  <m:rPr>
                    <m:sty m:val="b"/>
                  </m:rPr>
                  <w:rPr>
                    <w:rFonts w:ascii="Cambria Math" w:eastAsiaTheme="minorEastAsia" w:hAnsi="Cambria Math" w:cs="Times New Roman"/>
                    <w:sz w:val="18"/>
                    <w:szCs w:val="18"/>
                  </w:rPr>
                  <m:t>TTM</m:t>
                </m:r>
              </m:e>
              <m:sub>
                <m:r>
                  <m:rPr>
                    <m:sty m:val="b"/>
                  </m:rPr>
                  <w:rPr>
                    <w:rFonts w:ascii="Cambria Math" w:eastAsiaTheme="minorEastAsia" w:hAnsi="Cambria Math" w:cs="Times New Roman"/>
                    <w:sz w:val="18"/>
                    <w:szCs w:val="18"/>
                  </w:rPr>
                  <m:t>I,t</m:t>
                </m:r>
              </m:sub>
            </m:sSub>
          </m:e>
        </m:nary>
        <m:r>
          <m:rPr>
            <m:sty m:val="b"/>
          </m:rPr>
          <w:rPr>
            <w:rFonts w:ascii="Cambria Math" w:eastAsiaTheme="minorEastAsia" w:hAnsi="Cambria Math" w:cs="Times New Roman"/>
            <w:sz w:val="18"/>
            <w:szCs w:val="18"/>
          </w:rPr>
          <m:t>-</m:t>
        </m:r>
        <m:sSub>
          <m:sSubPr>
            <m:ctrlPr>
              <w:rPr>
                <w:rFonts w:ascii="Cambria Math" w:eastAsiaTheme="minorEastAsia" w:hAnsi="Cambria Math" w:cs="Times New Roman"/>
                <w:b/>
                <w:sz w:val="18"/>
                <w:szCs w:val="18"/>
              </w:rPr>
            </m:ctrlPr>
          </m:sSubPr>
          <m:e>
            <m:r>
              <m:rPr>
                <m:sty m:val="b"/>
              </m:rPr>
              <w:rPr>
                <w:rFonts w:ascii="Cambria Math" w:eastAsiaTheme="minorEastAsia" w:hAnsi="Cambria Math" w:cs="Times New Roman"/>
                <w:sz w:val="18"/>
                <w:szCs w:val="18"/>
              </w:rPr>
              <m:t>TTM</m:t>
            </m:r>
          </m:e>
          <m:sub>
            <m:r>
              <m:rPr>
                <m:sty m:val="b"/>
              </m:rPr>
              <w:rPr>
                <w:rFonts w:ascii="Cambria Math" w:eastAsiaTheme="minorEastAsia" w:hAnsi="Cambria Math" w:cs="Times New Roman"/>
                <w:sz w:val="18"/>
                <w:szCs w:val="18"/>
              </w:rPr>
              <m:t>e,t</m:t>
            </m:r>
          </m:sub>
        </m:sSub>
        <m:r>
          <m:rPr>
            <m:sty m:val="b"/>
          </m:rPr>
          <w:rPr>
            <w:rFonts w:ascii="Cambria Math" w:eastAsiaTheme="minorEastAsia" w:hAnsi="Cambria Math" w:cs="Times New Roman"/>
            <w:sz w:val="18"/>
            <w:szCs w:val="18"/>
          </w:rPr>
          <m:t>)</m:t>
        </m:r>
        <m:f>
          <m:fPr>
            <m:ctrlPr>
              <w:rPr>
                <w:rFonts w:ascii="Cambria Math" w:eastAsiaTheme="minorEastAsia" w:hAnsi="Cambria Math" w:cs="Times New Roman"/>
                <w:b/>
                <w:sz w:val="18"/>
                <w:szCs w:val="18"/>
              </w:rPr>
            </m:ctrlPr>
          </m:fPr>
          <m:num>
            <m:sSub>
              <m:sSubPr>
                <m:ctrlPr>
                  <w:rPr>
                    <w:rFonts w:ascii="Cambria Math" w:eastAsiaTheme="minorEastAsia" w:hAnsi="Cambria Math" w:cs="Times New Roman"/>
                    <w:b/>
                    <w:sz w:val="18"/>
                    <w:szCs w:val="18"/>
                  </w:rPr>
                </m:ctrlPr>
              </m:sSubPr>
              <m:e>
                <m:r>
                  <m:rPr>
                    <m:sty m:val="bi"/>
                  </m:rPr>
                  <w:rPr>
                    <w:rFonts w:ascii="Cambria Math" w:eastAsiaTheme="minorEastAsia" w:hAnsi="Cambria Math" w:cs="Times New Roman"/>
                    <w:sz w:val="18"/>
                    <w:szCs w:val="18"/>
                  </w:rPr>
                  <m:t>p</m:t>
                </m:r>
              </m:e>
              <m:sub>
                <m:r>
                  <m:rPr>
                    <m:sty m:val="bi"/>
                  </m:rPr>
                  <w:rPr>
                    <w:rFonts w:ascii="Cambria Math" w:eastAsiaTheme="minorEastAsia" w:hAnsi="Cambria Math" w:cs="Times New Roman"/>
                    <w:sz w:val="18"/>
                    <w:szCs w:val="18"/>
                  </w:rPr>
                  <m:t xml:space="preserve">it </m:t>
                </m:r>
              </m:sub>
            </m:sSub>
          </m:num>
          <m:den>
            <m:sSub>
              <m:sSubPr>
                <m:ctrlPr>
                  <w:rPr>
                    <w:rFonts w:ascii="Cambria Math" w:eastAsiaTheme="minorEastAsia" w:hAnsi="Cambria Math" w:cs="Times New Roman"/>
                    <w:b/>
                    <w:i/>
                    <w:sz w:val="18"/>
                    <w:szCs w:val="18"/>
                  </w:rPr>
                </m:ctrlPr>
              </m:sSubPr>
              <m:e>
                <m:r>
                  <m:rPr>
                    <m:sty m:val="bi"/>
                  </m:rPr>
                  <w:rPr>
                    <w:rFonts w:ascii="Cambria Math" w:eastAsiaTheme="minorEastAsia" w:hAnsi="Cambria Math" w:cs="Times New Roman"/>
                    <w:sz w:val="18"/>
                    <w:szCs w:val="18"/>
                  </w:rPr>
                  <m:t xml:space="preserve"> p</m:t>
                </m:r>
              </m:e>
              <m:sub>
                <m:r>
                  <m:rPr>
                    <m:sty m:val="bi"/>
                  </m:rPr>
                  <w:rPr>
                    <w:rFonts w:ascii="Cambria Math" w:eastAsiaTheme="minorEastAsia" w:hAnsi="Cambria Math" w:cs="Times New Roman"/>
                    <w:sz w:val="18"/>
                    <w:szCs w:val="18"/>
                  </w:rPr>
                  <m:t>et</m:t>
                </m:r>
              </m:sub>
            </m:sSub>
          </m:den>
        </m:f>
      </m:oMath>
      <w:r>
        <w:rPr>
          <w:rFonts w:ascii="Times New Roman" w:eastAsiaTheme="minorEastAsia" w:hAnsi="Times New Roman" w:cs="Times New Roman"/>
          <w:b/>
          <w:sz w:val="24"/>
          <w:szCs w:val="24"/>
        </w:rPr>
        <w:t xml:space="preserve"> </w:t>
      </w:r>
      <w:r w:rsidRPr="007D37B6">
        <w:rPr>
          <w:rFonts w:ascii="Times New Roman" w:eastAsiaTheme="minorEastAsia" w:hAnsi="Times New Roman" w:cs="Times New Roman"/>
          <w:sz w:val="18"/>
          <w:szCs w:val="18"/>
        </w:rPr>
        <w:t>para el preponderante y como</w:t>
      </w:r>
      <w:r w:rsidRPr="00743C2B">
        <w:rPr>
          <w:rFonts w:ascii="Times New Roman" w:eastAsiaTheme="minorEastAsia" w:hAnsi="Times New Roman" w:cs="Times New Roman"/>
          <w:sz w:val="24"/>
          <w:szCs w:val="24"/>
        </w:rPr>
        <w:t xml:space="preserve"> </w:t>
      </w:r>
      <m:oMath>
        <m:sSubSup>
          <m:sSubSupPr>
            <m:ctrlPr>
              <w:rPr>
                <w:rFonts w:ascii="Cambria Math" w:eastAsiaTheme="minorEastAsia" w:hAnsi="Cambria Math" w:cs="Times New Roman"/>
                <w:b/>
                <w:i/>
                <w:iCs/>
                <w:sz w:val="18"/>
                <w:szCs w:val="18"/>
              </w:rPr>
            </m:ctrlPr>
          </m:sSubSupPr>
          <m:e>
            <m:r>
              <m:rPr>
                <m:sty m:val="b"/>
              </m:rPr>
              <w:rPr>
                <w:rFonts w:ascii="Cambria Math" w:eastAsiaTheme="minorEastAsia" w:hAnsi="Cambria Math" w:cs="Times New Roman"/>
                <w:sz w:val="18"/>
                <w:szCs w:val="18"/>
              </w:rPr>
              <m:t>AR</m:t>
            </m:r>
          </m:e>
          <m:sub>
            <m:r>
              <m:rPr>
                <m:sty m:val="b"/>
              </m:rPr>
              <w:rPr>
                <w:rFonts w:ascii="Cambria Math" w:eastAsiaTheme="minorEastAsia" w:hAnsi="Cambria Math" w:cs="Times New Roman"/>
                <w:sz w:val="18"/>
                <w:szCs w:val="18"/>
              </w:rPr>
              <m:t>t</m:t>
            </m:r>
          </m:sub>
          <m:sup>
            <m:r>
              <m:rPr>
                <m:sty m:val="b"/>
              </m:rPr>
              <w:rPr>
                <w:rFonts w:ascii="Cambria Math" w:eastAsiaTheme="minorEastAsia" w:hAnsi="Cambria Math" w:cs="Times New Roman"/>
                <w:sz w:val="18"/>
                <w:szCs w:val="18"/>
              </w:rPr>
              <m:t>E</m:t>
            </m:r>
          </m:sup>
        </m:sSubSup>
        <m:r>
          <m:rPr>
            <m:sty m:val="b"/>
          </m:rPr>
          <w:rPr>
            <w:rFonts w:ascii="Cambria Math" w:eastAsiaTheme="minorEastAsia" w:hAnsi="Cambria Math" w:cs="Times New Roman"/>
            <w:sz w:val="18"/>
            <w:szCs w:val="18"/>
          </w:rPr>
          <m:t>=</m:t>
        </m:r>
        <m:nary>
          <m:naryPr>
            <m:chr m:val="∑"/>
            <m:limLoc m:val="undOvr"/>
            <m:supHide m:val="1"/>
            <m:ctrlPr>
              <w:rPr>
                <w:rFonts w:ascii="Cambria Math" w:eastAsiaTheme="minorEastAsia" w:hAnsi="Cambria Math" w:cs="Times New Roman"/>
                <w:b/>
                <w:i/>
                <w:iCs/>
                <w:sz w:val="18"/>
                <w:szCs w:val="18"/>
              </w:rPr>
            </m:ctrlPr>
          </m:naryPr>
          <m:sub>
            <m:r>
              <m:rPr>
                <m:sty m:val="bi"/>
              </m:rPr>
              <w:rPr>
                <w:rFonts w:ascii="Cambria Math" w:eastAsiaTheme="minorEastAsia" w:hAnsi="Cambria Math" w:cs="Times New Roman"/>
                <w:sz w:val="18"/>
                <w:szCs w:val="18"/>
              </w:rPr>
              <m:t>e</m:t>
            </m:r>
          </m:sub>
          <m:sup/>
          <m:e>
            <m:r>
              <m:rPr>
                <m:sty m:val="b"/>
              </m:rPr>
              <w:rPr>
                <w:rFonts w:ascii="Cambria Math" w:eastAsiaTheme="minorEastAsia" w:hAnsi="Cambria Math" w:cs="Times New Roman"/>
                <w:sz w:val="18"/>
                <w:szCs w:val="18"/>
              </w:rPr>
              <m:t>(</m:t>
            </m:r>
            <m:sSub>
              <m:sSubPr>
                <m:ctrlPr>
                  <w:rPr>
                    <w:rFonts w:ascii="Cambria Math" w:eastAsiaTheme="minorEastAsia" w:hAnsi="Cambria Math" w:cs="Times New Roman"/>
                    <w:b/>
                    <w:i/>
                    <w:iCs/>
                    <w:sz w:val="18"/>
                    <w:szCs w:val="18"/>
                  </w:rPr>
                </m:ctrlPr>
              </m:sSubPr>
              <m:e>
                <m:r>
                  <m:rPr>
                    <m:sty m:val="b"/>
                  </m:rPr>
                  <w:rPr>
                    <w:rFonts w:ascii="Cambria Math" w:eastAsiaTheme="minorEastAsia" w:hAnsi="Cambria Math" w:cs="Times New Roman"/>
                    <w:sz w:val="18"/>
                    <w:szCs w:val="18"/>
                  </w:rPr>
                  <m:t>TTM</m:t>
                </m:r>
              </m:e>
              <m:sub>
                <m:r>
                  <m:rPr>
                    <m:sty m:val="b"/>
                  </m:rPr>
                  <w:rPr>
                    <w:rFonts w:ascii="Cambria Math" w:eastAsiaTheme="minorEastAsia" w:hAnsi="Cambria Math" w:cs="Times New Roman"/>
                    <w:sz w:val="18"/>
                    <w:szCs w:val="18"/>
                  </w:rPr>
                  <m:t>e,t</m:t>
                </m:r>
              </m:sub>
            </m:sSub>
          </m:e>
        </m:nary>
        <m:r>
          <m:rPr>
            <m:sty m:val="bi"/>
          </m:rPr>
          <w:rPr>
            <w:rFonts w:ascii="Cambria Math" w:eastAsiaTheme="minorEastAsia" w:hAnsi="Cambria Math" w:cs="Times New Roman"/>
            <w:sz w:val="18"/>
            <w:szCs w:val="18"/>
          </w:rPr>
          <m:t>-</m:t>
        </m:r>
        <m:sSub>
          <m:sSubPr>
            <m:ctrlPr>
              <w:rPr>
                <w:rFonts w:ascii="Cambria Math" w:eastAsiaTheme="minorEastAsia" w:hAnsi="Cambria Math" w:cs="Times New Roman"/>
                <w:b/>
                <w:i/>
                <w:iCs/>
                <w:sz w:val="18"/>
                <w:szCs w:val="18"/>
              </w:rPr>
            </m:ctrlPr>
          </m:sSubPr>
          <m:e>
            <m:r>
              <m:rPr>
                <m:sty m:val="b"/>
              </m:rPr>
              <w:rPr>
                <w:rFonts w:ascii="Cambria Math" w:eastAsiaTheme="minorEastAsia" w:hAnsi="Cambria Math" w:cs="Times New Roman"/>
                <w:sz w:val="18"/>
                <w:szCs w:val="18"/>
              </w:rPr>
              <m:t>TTM</m:t>
            </m:r>
          </m:e>
          <m:sub>
            <m:r>
              <m:rPr>
                <m:sty m:val="b"/>
              </m:rPr>
              <w:rPr>
                <w:rFonts w:ascii="Cambria Math" w:eastAsiaTheme="minorEastAsia" w:hAnsi="Cambria Math" w:cs="Times New Roman"/>
                <w:sz w:val="18"/>
                <w:szCs w:val="18"/>
              </w:rPr>
              <m:t>it</m:t>
            </m:r>
          </m:sub>
        </m:sSub>
        <m:r>
          <m:rPr>
            <m:sty m:val="b"/>
          </m:rPr>
          <w:rPr>
            <w:rFonts w:ascii="Cambria Math" w:eastAsiaTheme="minorEastAsia" w:hAnsi="Cambria Math" w:cs="Times New Roman"/>
            <w:sz w:val="18"/>
            <w:szCs w:val="18"/>
          </w:rPr>
          <m:t>)</m:t>
        </m:r>
      </m:oMath>
      <w:r w:rsidRPr="005D226A">
        <w:rPr>
          <w:rFonts w:ascii="Times New Roman" w:eastAsiaTheme="minorEastAsia" w:hAnsi="Times New Roman" w:cs="Times New Roman"/>
          <w:b/>
          <w:sz w:val="24"/>
          <w:szCs w:val="24"/>
        </w:rPr>
        <w:t xml:space="preserve"> </w:t>
      </w:r>
      <m:oMath>
        <m:f>
          <m:fPr>
            <m:ctrlPr>
              <w:rPr>
                <w:rFonts w:ascii="Cambria Math" w:eastAsiaTheme="minorEastAsia" w:hAnsi="Cambria Math" w:cs="Times New Roman"/>
                <w:b/>
                <w:sz w:val="18"/>
                <w:szCs w:val="18"/>
              </w:rPr>
            </m:ctrlPr>
          </m:fPr>
          <m:num>
            <m:sSub>
              <m:sSubPr>
                <m:ctrlPr>
                  <w:rPr>
                    <w:rFonts w:ascii="Cambria Math" w:eastAsiaTheme="minorEastAsia" w:hAnsi="Cambria Math" w:cs="Times New Roman"/>
                    <w:b/>
                    <w:sz w:val="18"/>
                    <w:szCs w:val="18"/>
                  </w:rPr>
                </m:ctrlPr>
              </m:sSubPr>
              <m:e>
                <m:r>
                  <m:rPr>
                    <m:sty m:val="bi"/>
                  </m:rPr>
                  <w:rPr>
                    <w:rFonts w:ascii="Cambria Math" w:eastAsiaTheme="minorEastAsia" w:hAnsi="Cambria Math" w:cs="Times New Roman"/>
                    <w:sz w:val="18"/>
                    <w:szCs w:val="18"/>
                  </w:rPr>
                  <m:t>p</m:t>
                </m:r>
              </m:e>
              <m:sub>
                <m:r>
                  <m:rPr>
                    <m:sty m:val="bi"/>
                  </m:rPr>
                  <w:rPr>
                    <w:rFonts w:ascii="Cambria Math" w:eastAsiaTheme="minorEastAsia" w:hAnsi="Cambria Math" w:cs="Times New Roman"/>
                    <w:sz w:val="18"/>
                    <w:szCs w:val="18"/>
                  </w:rPr>
                  <m:t xml:space="preserve">et </m:t>
                </m:r>
              </m:sub>
            </m:sSub>
          </m:num>
          <m:den>
            <m:sSub>
              <m:sSubPr>
                <m:ctrlPr>
                  <w:rPr>
                    <w:rFonts w:ascii="Cambria Math" w:eastAsiaTheme="minorEastAsia" w:hAnsi="Cambria Math" w:cs="Times New Roman"/>
                    <w:b/>
                    <w:i/>
                    <w:sz w:val="18"/>
                    <w:szCs w:val="18"/>
                  </w:rPr>
                </m:ctrlPr>
              </m:sSubPr>
              <m:e>
                <m:r>
                  <m:rPr>
                    <m:sty m:val="bi"/>
                  </m:rPr>
                  <w:rPr>
                    <w:rFonts w:ascii="Cambria Math" w:eastAsiaTheme="minorEastAsia" w:hAnsi="Cambria Math" w:cs="Times New Roman"/>
                    <w:sz w:val="18"/>
                    <w:szCs w:val="18"/>
                  </w:rPr>
                  <m:t xml:space="preserve"> p</m:t>
                </m:r>
              </m:e>
              <m:sub>
                <m:r>
                  <m:rPr>
                    <m:sty m:val="bi"/>
                  </m:rPr>
                  <w:rPr>
                    <w:rFonts w:ascii="Cambria Math" w:eastAsiaTheme="minorEastAsia" w:hAnsi="Cambria Math" w:cs="Times New Roman"/>
                    <w:sz w:val="18"/>
                    <w:szCs w:val="18"/>
                  </w:rPr>
                  <m:t>it</m:t>
                </m:r>
              </m:sub>
            </m:sSub>
          </m:den>
        </m:f>
      </m:oMath>
      <w:r w:rsidRPr="005D226A">
        <w:rPr>
          <w:rFonts w:ascii="Times New Roman" w:eastAsiaTheme="minorEastAsia" w:hAnsi="Times New Roman" w:cs="Times New Roman"/>
          <w:b/>
          <w:sz w:val="24"/>
          <w:szCs w:val="24"/>
        </w:rPr>
        <w:t xml:space="preserve"> </w:t>
      </w:r>
      <w:r w:rsidRPr="00125C87">
        <w:rPr>
          <w:rFonts w:ascii="Times New Roman" w:eastAsiaTheme="minorEastAsia" w:hAnsi="Times New Roman" w:cs="Times New Roman"/>
          <w:b/>
          <w:sz w:val="18"/>
          <w:szCs w:val="18"/>
        </w:rPr>
        <w:t>&gt;</w:t>
      </w:r>
      <w:r w:rsidRPr="005D226A">
        <w:rPr>
          <w:rFonts w:ascii="Times New Roman" w:eastAsiaTheme="minorEastAsia" w:hAnsi="Times New Roman" w:cs="Times New Roman"/>
          <w:b/>
          <w:sz w:val="24"/>
          <w:szCs w:val="24"/>
        </w:rPr>
        <w:t xml:space="preserve"> </w:t>
      </w:r>
      <w:r w:rsidRPr="00125C87">
        <w:rPr>
          <w:rFonts w:ascii="Times New Roman" w:eastAsiaTheme="minorEastAsia" w:hAnsi="Times New Roman" w:cs="Times New Roman"/>
          <w:b/>
          <w:sz w:val="18"/>
          <w:szCs w:val="18"/>
        </w:rPr>
        <w:t>0</w:t>
      </w:r>
      <w:r>
        <w:rPr>
          <w:rFonts w:ascii="Times New Roman" w:eastAsiaTheme="minorEastAsia" w:hAnsi="Times New Roman" w:cs="Times New Roman"/>
          <w:b/>
          <w:sz w:val="24"/>
          <w:szCs w:val="24"/>
        </w:rPr>
        <w:t xml:space="preserve"> </w:t>
      </w:r>
      <w:r w:rsidRPr="007D37B6">
        <w:rPr>
          <w:rFonts w:ascii="Times New Roman" w:eastAsiaTheme="minorEastAsia" w:hAnsi="Times New Roman" w:cs="Times New Roman"/>
          <w:sz w:val="18"/>
          <w:szCs w:val="18"/>
        </w:rPr>
        <w:t>para los entrantes. En este estudio se consideró más adecuado considerar las participaciones de los operadores de manera multiplicativa. Lo anterior permite eliminar la variable AR cuando alguno de estos grupos tuviera una participación nula.</w:t>
      </w:r>
    </w:p>
  </w:footnote>
  <w:footnote w:id="14">
    <w:p w:rsidR="00CB090E" w:rsidRPr="007D37B6" w:rsidRDefault="00CB090E" w:rsidP="009E7099">
      <w:pPr>
        <w:pStyle w:val="Textonotapie"/>
        <w:jc w:val="both"/>
        <w:rPr>
          <w:rFonts w:ascii="Times New Roman" w:hAnsi="Times New Roman" w:cs="Times New Roman"/>
          <w:sz w:val="18"/>
          <w:szCs w:val="18"/>
        </w:rPr>
      </w:pPr>
      <w:r w:rsidRPr="007D37B6">
        <w:rPr>
          <w:rStyle w:val="Refdenotaalpie"/>
          <w:sz w:val="18"/>
          <w:szCs w:val="18"/>
        </w:rPr>
        <w:footnoteRef/>
      </w:r>
      <w:r w:rsidRPr="007D37B6">
        <w:rPr>
          <w:sz w:val="18"/>
          <w:szCs w:val="18"/>
        </w:rPr>
        <w:t xml:space="preserve"> </w:t>
      </w:r>
      <w:r w:rsidRPr="007D37B6">
        <w:rPr>
          <w:rFonts w:ascii="Times New Roman" w:hAnsi="Times New Roman" w:cs="Times New Roman"/>
          <w:sz w:val="18"/>
          <w:szCs w:val="18"/>
        </w:rPr>
        <w:t>Las entrantes son: Movistar, Nextel y Iusacell. Estas operan en el mercado mexicano desde hace años, pero reciben un trato regulatorio diferente en cuanto a las TTM y otras variables, ya que no cuentan con poder de mercado o con carácter de preponderantes.</w:t>
      </w:r>
      <w:r>
        <w:rPr>
          <w:rFonts w:ascii="Times New Roman" w:hAnsi="Times New Roman" w:cs="Times New Roman"/>
          <w:sz w:val="18"/>
          <w:szCs w:val="18"/>
        </w:rPr>
        <w:t xml:space="preserve"> Recientemente Nextel y </w:t>
      </w:r>
      <w:proofErr w:type="spellStart"/>
      <w:r>
        <w:rPr>
          <w:rFonts w:ascii="Times New Roman" w:hAnsi="Times New Roman" w:cs="Times New Roman"/>
          <w:sz w:val="18"/>
          <w:szCs w:val="18"/>
        </w:rPr>
        <w:t>Iusacel</w:t>
      </w:r>
      <w:proofErr w:type="spellEnd"/>
      <w:r>
        <w:rPr>
          <w:rFonts w:ascii="Times New Roman" w:hAnsi="Times New Roman" w:cs="Times New Roman"/>
          <w:sz w:val="18"/>
          <w:szCs w:val="18"/>
        </w:rPr>
        <w:t xml:space="preserve"> fueron adquiridas por AT&amp;T; esta última si es una nueva entrante. </w:t>
      </w:r>
    </w:p>
  </w:footnote>
  <w:footnote w:id="15">
    <w:p w:rsidR="00CB090E" w:rsidRPr="007D37B6" w:rsidRDefault="00CB090E" w:rsidP="00380D96">
      <w:pPr>
        <w:pStyle w:val="Textonotapie"/>
        <w:rPr>
          <w:sz w:val="18"/>
          <w:szCs w:val="18"/>
        </w:rPr>
      </w:pPr>
      <w:r w:rsidRPr="007D37B6">
        <w:rPr>
          <w:rStyle w:val="Refdenotaalpie"/>
          <w:sz w:val="18"/>
          <w:szCs w:val="18"/>
        </w:rPr>
        <w:footnoteRef/>
      </w:r>
      <w:r w:rsidRPr="007D37B6">
        <w:rPr>
          <w:sz w:val="18"/>
          <w:szCs w:val="18"/>
        </w:rPr>
        <w:t xml:space="preserve"> </w:t>
      </w:r>
      <w:r w:rsidRPr="007D37B6">
        <w:rPr>
          <w:rFonts w:ascii="Times New Roman" w:hAnsi="Times New Roman" w:cs="Times New Roman"/>
          <w:color w:val="000000" w:themeColor="text1"/>
          <w:sz w:val="18"/>
          <w:szCs w:val="18"/>
        </w:rPr>
        <w:t xml:space="preserve">Véase: </w:t>
      </w:r>
      <w:hyperlink r:id="rId1" w:history="1">
        <w:r w:rsidRPr="007D37B6">
          <w:rPr>
            <w:rStyle w:val="Hipervnculo"/>
            <w:rFonts w:ascii="Times New Roman" w:hAnsi="Times New Roman" w:cs="Times New Roman"/>
            <w:color w:val="000000" w:themeColor="text1"/>
            <w:sz w:val="18"/>
            <w:szCs w:val="18"/>
          </w:rPr>
          <w:t>http://www.ift.org.mx/</w:t>
        </w:r>
      </w:hyperlink>
      <w:r w:rsidRPr="007D37B6">
        <w:rPr>
          <w:rFonts w:ascii="Times New Roman" w:hAnsi="Times New Roman" w:cs="Times New Roman"/>
          <w:color w:val="000000" w:themeColor="text1"/>
          <w:sz w:val="18"/>
          <w:szCs w:val="18"/>
        </w:rPr>
        <w:t xml:space="preserve"> y https://www.ovumkc.com/kc/telecoms</w:t>
      </w:r>
      <w:r w:rsidRPr="007D37B6">
        <w:rPr>
          <w:sz w:val="18"/>
          <w:szCs w:val="18"/>
        </w:rPr>
        <w:t>.</w:t>
      </w:r>
    </w:p>
  </w:footnote>
  <w:footnote w:id="16">
    <w:p w:rsidR="00CB090E" w:rsidRPr="007D37B6" w:rsidRDefault="00CB090E">
      <w:pPr>
        <w:pStyle w:val="Textonotapie"/>
        <w:rPr>
          <w:rFonts w:ascii="Times New Roman" w:hAnsi="Times New Roman" w:cs="Times New Roman"/>
          <w:sz w:val="18"/>
          <w:szCs w:val="18"/>
        </w:rPr>
      </w:pPr>
      <w:r w:rsidRPr="007D37B6">
        <w:rPr>
          <w:rStyle w:val="Refdenotaalpie"/>
          <w:sz w:val="18"/>
          <w:szCs w:val="18"/>
        </w:rPr>
        <w:footnoteRef/>
      </w:r>
      <w:r w:rsidRPr="007D37B6">
        <w:rPr>
          <w:sz w:val="18"/>
          <w:szCs w:val="18"/>
        </w:rPr>
        <w:t xml:space="preserve"> </w:t>
      </w:r>
      <w:r w:rsidRPr="007D37B6">
        <w:rPr>
          <w:rFonts w:ascii="Times New Roman" w:hAnsi="Times New Roman" w:cs="Times New Roman"/>
          <w:sz w:val="18"/>
          <w:szCs w:val="18"/>
        </w:rPr>
        <w:t>La ecuación 2 se refiere a una relación de la variable de desempeño respecto de su valor rezagado, además de con otras variables, por lo que aplica la prueba señalada.</w:t>
      </w:r>
    </w:p>
  </w:footnote>
  <w:footnote w:id="17">
    <w:p w:rsidR="00CB090E" w:rsidRPr="009C22D7" w:rsidRDefault="00CB090E" w:rsidP="00FB70D6">
      <w:pPr>
        <w:pStyle w:val="Textonotapie"/>
        <w:rPr>
          <w:rFonts w:asciiTheme="majorHAnsi" w:hAnsiTheme="majorHAnsi"/>
        </w:rPr>
      </w:pPr>
      <w:r w:rsidRPr="007F2503">
        <w:rPr>
          <w:rStyle w:val="Refdenotaalpie"/>
        </w:rPr>
        <w:footnoteRef/>
      </w:r>
      <w:r w:rsidRPr="007D37B6">
        <w:rPr>
          <w:rFonts w:ascii="Times New Roman" w:hAnsi="Times New Roman" w:cs="Times New Roman"/>
          <w:sz w:val="18"/>
          <w:szCs w:val="18"/>
        </w:rPr>
        <w:t xml:space="preserve">Si </w:t>
      </w:r>
      <w:r w:rsidRPr="007D37B6">
        <w:rPr>
          <w:rFonts w:ascii="Times New Roman" w:eastAsiaTheme="minorEastAsia" w:hAnsi="Times New Roman" w:cs="Times New Roman"/>
          <w:sz w:val="18"/>
          <w:szCs w:val="18"/>
        </w:rPr>
        <w:t>X es el consumo del bien X y P su precio,</w:t>
      </w:r>
      <w:r w:rsidRPr="007D37B6">
        <w:rPr>
          <w:rFonts w:ascii="Times New Roman" w:hAnsi="Times New Roman" w:cs="Times New Roman"/>
          <w:sz w:val="18"/>
          <w:szCs w:val="18"/>
        </w:rPr>
        <w:t xml:space="preserve"> la elasticidad precio de la demanda se define como</w:t>
      </w:r>
      <w:r w:rsidRPr="00B7545B">
        <w:rPr>
          <w:rFonts w:asciiTheme="majorHAnsi" w:hAnsiTheme="majorHAnsi"/>
        </w:rPr>
        <w:t xml:space="preserve"> ƞ</w:t>
      </w:r>
      <m:oMath>
        <m:r>
          <w:rPr>
            <w:rFonts w:ascii="Cambria Math" w:hAnsi="Cambria Math"/>
          </w:rPr>
          <m:t>=</m:t>
        </m:r>
        <m:f>
          <m:fPr>
            <m:ctrlPr>
              <w:rPr>
                <w:rFonts w:ascii="Cambria Math" w:hAnsi="Cambria Math"/>
              </w:rPr>
            </m:ctrlPr>
          </m:fPr>
          <m:num>
            <m:r>
              <w:rPr>
                <w:rFonts w:ascii="Cambria Math" w:hAnsi="Cambria Math"/>
              </w:rPr>
              <m:t>δx</m:t>
            </m:r>
          </m:num>
          <m:den>
            <m:r>
              <w:rPr>
                <w:rFonts w:ascii="Cambria Math" w:hAnsi="Cambria Math"/>
              </w:rPr>
              <m:t>δP</m:t>
            </m:r>
          </m:den>
        </m:f>
        <m:r>
          <w:rPr>
            <w:rFonts w:ascii="Cambria Math" w:hAnsi="Cambria Math"/>
          </w:rPr>
          <m:t>*</m:t>
        </m:r>
        <m:f>
          <m:fPr>
            <m:ctrlPr>
              <w:rPr>
                <w:rFonts w:ascii="Cambria Math" w:hAnsi="Cambria Math"/>
              </w:rPr>
            </m:ctrlPr>
          </m:fPr>
          <m:num>
            <m:r>
              <w:rPr>
                <w:rFonts w:ascii="Cambria Math" w:hAnsi="Cambria Math"/>
              </w:rPr>
              <m:t>P</m:t>
            </m:r>
          </m:num>
          <m:den>
            <m:r>
              <w:rPr>
                <w:rFonts w:ascii="Cambria Math" w:hAnsi="Cambria Math"/>
              </w:rPr>
              <m:t>x</m:t>
            </m:r>
          </m:den>
        </m:f>
      </m:oMath>
      <w:r w:rsidRPr="00B7545B">
        <w:rPr>
          <w:rFonts w:asciiTheme="majorHAnsi" w:eastAsiaTheme="minorEastAsia" w:hAnsiTheme="majorHAnsi"/>
        </w:rPr>
        <w:t xml:space="preserve">  =</w:t>
      </w:r>
      <m:oMath>
        <m:f>
          <m:fPr>
            <m:ctrlPr>
              <w:rPr>
                <w:rFonts w:ascii="Cambria Math" w:hAnsi="Cambria Math"/>
              </w:rPr>
            </m:ctrlPr>
          </m:fPr>
          <m:num>
            <m:r>
              <w:rPr>
                <w:rFonts w:ascii="Cambria Math" w:hAnsi="Cambria Math"/>
              </w:rPr>
              <m:t>Ln X</m:t>
            </m:r>
          </m:num>
          <m:den>
            <m:r>
              <w:rPr>
                <w:rFonts w:ascii="Cambria Math" w:hAnsi="Cambria Math"/>
              </w:rPr>
              <m:t>LnP</m:t>
            </m:r>
          </m:den>
        </m:f>
      </m:oMath>
      <w:r w:rsidRPr="00B7545B">
        <w:rPr>
          <w:rFonts w:asciiTheme="majorHAnsi" w:eastAsiaTheme="minorEastAsia" w:hAnsiTheme="majorHAnsi"/>
        </w:rPr>
        <w:t xml:space="preserve">. </w:t>
      </w:r>
      <w:r w:rsidRPr="007D37B6">
        <w:rPr>
          <w:rFonts w:ascii="Times New Roman" w:eastAsiaTheme="minorEastAsia" w:hAnsi="Times New Roman" w:cs="Times New Roman"/>
          <w:sz w:val="18"/>
          <w:szCs w:val="18"/>
        </w:rPr>
        <w:t>Cuando se tiene un cambio discreto (no continuo) entre dos puntos diferentes de la demanda, es posible expresar la elasticidad precio de la demanda como</w:t>
      </w:r>
      <w:r w:rsidRPr="00B7545B">
        <w:rPr>
          <w:rFonts w:asciiTheme="majorHAnsi" w:eastAsiaTheme="minorEastAsia" w:hAnsiTheme="majorHAnsi"/>
        </w:rPr>
        <w:t xml:space="preserve">: </w:t>
      </w:r>
      <w:r w:rsidRPr="00B7545B">
        <w:rPr>
          <w:rFonts w:asciiTheme="majorHAnsi" w:hAnsiTheme="majorHAnsi"/>
        </w:rPr>
        <w:t>ƞ</w:t>
      </w:r>
      <m:oMath>
        <m:r>
          <w:rPr>
            <w:rFonts w:ascii="Cambria Math" w:hAnsi="Cambria Math"/>
          </w:rPr>
          <m:t>=</m:t>
        </m:r>
        <m:f>
          <m:fPr>
            <m:ctrlPr>
              <w:rPr>
                <w:rFonts w:ascii="Cambria Math" w:hAnsi="Cambria Math"/>
              </w:rPr>
            </m:ctrlPr>
          </m:fPr>
          <m:num>
            <m:r>
              <w:rPr>
                <w:rFonts w:ascii="Cambria Math" w:hAnsi="Cambria Math"/>
              </w:rPr>
              <m:t>Δx</m:t>
            </m:r>
          </m:num>
          <m:den>
            <m:r>
              <w:rPr>
                <w:rFonts w:ascii="Cambria Math" w:hAnsi="Cambria Math"/>
              </w:rPr>
              <m:t>ΔP</m:t>
            </m:r>
          </m:den>
        </m:f>
        <m:r>
          <w:rPr>
            <w:rFonts w:ascii="Cambria Math" w:hAnsi="Cambria Math"/>
          </w:rPr>
          <m:t>*</m:t>
        </m:r>
        <m:f>
          <m:fPr>
            <m:ctrlPr>
              <w:rPr>
                <w:rFonts w:ascii="Cambria Math" w:hAnsi="Cambria Math"/>
                <w:i/>
                <w:iCs/>
              </w:rPr>
            </m:ctrlPr>
          </m:fPr>
          <m:num>
            <m:f>
              <m:fPr>
                <m:ctrlPr>
                  <w:rPr>
                    <w:rFonts w:ascii="Cambria Math" w:hAnsi="Cambria Math"/>
                    <w:i/>
                    <w:iCs/>
                  </w:rPr>
                </m:ctrlPr>
              </m:fPr>
              <m:num>
                <m:r>
                  <w:rPr>
                    <w:rFonts w:ascii="Cambria Math" w:hAnsi="Cambria Math"/>
                  </w:rPr>
                  <m:t>P1+P2</m:t>
                </m:r>
              </m:num>
              <m:den>
                <m:r>
                  <w:rPr>
                    <w:rFonts w:ascii="Cambria Math" w:hAnsi="Cambria Math"/>
                  </w:rPr>
                  <m:t>2</m:t>
                </m:r>
              </m:den>
            </m:f>
          </m:num>
          <m:den>
            <m:f>
              <m:fPr>
                <m:ctrlPr>
                  <w:rPr>
                    <w:rFonts w:ascii="Cambria Math" w:hAnsi="Cambria Math"/>
                    <w:i/>
                    <w:iCs/>
                  </w:rPr>
                </m:ctrlPr>
              </m:fPr>
              <m:num>
                <m:r>
                  <w:rPr>
                    <w:rFonts w:ascii="Cambria Math" w:hAnsi="Cambria Math"/>
                  </w:rPr>
                  <m:t>X1+X2</m:t>
                </m:r>
              </m:num>
              <m:den>
                <m:r>
                  <w:rPr>
                    <w:rFonts w:ascii="Cambria Math" w:hAnsi="Cambria Math"/>
                  </w:rPr>
                  <m:t>2</m:t>
                </m:r>
              </m:den>
            </m:f>
          </m:den>
        </m:f>
      </m:oMath>
      <w:r w:rsidRPr="00B7545B">
        <w:rPr>
          <w:rFonts w:asciiTheme="majorHAnsi" w:eastAsiaTheme="minorEastAsia" w:hAnsiTheme="majorHAnsi"/>
        </w:rPr>
        <w:t xml:space="preserve">  =</w:t>
      </w:r>
      <m:oMath>
        <m:f>
          <m:fPr>
            <m:ctrlPr>
              <w:rPr>
                <w:rFonts w:ascii="Cambria Math" w:hAnsi="Cambria Math"/>
              </w:rPr>
            </m:ctrlPr>
          </m:fPr>
          <m:num>
            <m:r>
              <w:rPr>
                <w:rFonts w:ascii="Cambria Math" w:hAnsi="Cambria Math"/>
              </w:rPr>
              <m:t>Δx</m:t>
            </m:r>
          </m:num>
          <m:den>
            <m:r>
              <w:rPr>
                <w:rFonts w:ascii="Cambria Math" w:hAnsi="Cambria Math"/>
              </w:rPr>
              <m:t>ΔP</m:t>
            </m:r>
          </m:den>
        </m:f>
        <m:r>
          <w:rPr>
            <w:rFonts w:ascii="Cambria Math" w:hAnsi="Cambria Math"/>
          </w:rPr>
          <m:t>*</m:t>
        </m:r>
        <m:f>
          <m:fPr>
            <m:ctrlPr>
              <w:rPr>
                <w:rFonts w:ascii="Cambria Math" w:hAnsi="Cambria Math"/>
              </w:rPr>
            </m:ctrlPr>
          </m:fPr>
          <m:num>
            <m:r>
              <w:rPr>
                <w:rFonts w:ascii="Cambria Math" w:hAnsi="Cambria Math"/>
              </w:rPr>
              <m:t>P1+P2</m:t>
            </m:r>
          </m:num>
          <m:den>
            <m:r>
              <w:rPr>
                <w:rFonts w:ascii="Cambria Math" w:hAnsi="Cambria Math"/>
              </w:rPr>
              <m:t>X1+X2</m:t>
            </m:r>
          </m:den>
        </m:f>
      </m:oMath>
      <w:r w:rsidRPr="007F2503">
        <w:rPr>
          <w:rFonts w:eastAsiaTheme="minorEastAsia"/>
        </w:rPr>
        <w:t xml:space="preserve">.  </w:t>
      </w:r>
      <w:r>
        <w:rPr>
          <w:rFonts w:eastAsiaTheme="minorEastAsia"/>
        </w:rPr>
        <w:t xml:space="preserve"> </w:t>
      </w:r>
    </w:p>
  </w:footnote>
  <w:footnote w:id="18">
    <w:p w:rsidR="00CB090E" w:rsidRPr="007D37B6" w:rsidRDefault="00CB090E" w:rsidP="00B71AE9">
      <w:pPr>
        <w:pStyle w:val="Textonotapie"/>
        <w:jc w:val="both"/>
        <w:rPr>
          <w:rFonts w:ascii="Times New Roman" w:hAnsi="Times New Roman" w:cs="Times New Roman"/>
          <w:sz w:val="18"/>
          <w:szCs w:val="18"/>
        </w:rPr>
      </w:pPr>
      <w:r w:rsidRPr="00DE3366">
        <w:rPr>
          <w:rStyle w:val="Refdenotaalpie"/>
          <w:rFonts w:ascii="Times New Roman" w:hAnsi="Times New Roman" w:cs="Times New Roman"/>
        </w:rPr>
        <w:footnoteRef/>
      </w:r>
      <w:r w:rsidRPr="00DE3366">
        <w:rPr>
          <w:rFonts w:ascii="Times New Roman" w:hAnsi="Times New Roman" w:cs="Times New Roman"/>
        </w:rPr>
        <w:t xml:space="preserve"> </w:t>
      </w:r>
      <w:r w:rsidRPr="007D37B6">
        <w:rPr>
          <w:rFonts w:ascii="Times New Roman" w:hAnsi="Times New Roman" w:cs="Times New Roman"/>
          <w:sz w:val="18"/>
          <w:szCs w:val="18"/>
        </w:rPr>
        <w:t xml:space="preserve">Los resultados de </w:t>
      </w:r>
      <w:proofErr w:type="spellStart"/>
      <w:r w:rsidRPr="007D37B6">
        <w:rPr>
          <w:rFonts w:ascii="Times New Roman" w:hAnsi="Times New Roman" w:cs="Times New Roman"/>
          <w:sz w:val="18"/>
          <w:szCs w:val="18"/>
        </w:rPr>
        <w:t>Baranes</w:t>
      </w:r>
      <w:proofErr w:type="spellEnd"/>
      <w:r w:rsidRPr="007D37B6">
        <w:rPr>
          <w:rFonts w:ascii="Times New Roman" w:hAnsi="Times New Roman" w:cs="Times New Roman"/>
          <w:sz w:val="18"/>
          <w:szCs w:val="18"/>
        </w:rPr>
        <w:t xml:space="preserve"> et al se incluyen en las columnas de la derecha en los cuadros</w:t>
      </w:r>
      <w:r>
        <w:rPr>
          <w:rFonts w:ascii="Times New Roman" w:hAnsi="Times New Roman" w:cs="Times New Roman"/>
          <w:sz w:val="18"/>
          <w:szCs w:val="18"/>
        </w:rPr>
        <w:t xml:space="preserve"> 2 y 3</w:t>
      </w:r>
      <w:r w:rsidRPr="007D37B6">
        <w:rPr>
          <w:rFonts w:ascii="Times New Roman" w:hAnsi="Times New Roman" w:cs="Times New Roman"/>
          <w:sz w:val="18"/>
          <w:szCs w:val="18"/>
        </w:rPr>
        <w:t xml:space="preserve">. Para indicar que el coeficiente estimado es estadísticamente significativo se usan asteriscos *; y el valor del coeficiente se señala con (+) cuando  </w:t>
      </w:r>
      <w:r w:rsidRPr="007D37B6">
        <w:rPr>
          <w:rFonts w:ascii="Times New Roman" w:hAnsi="Times New Roman" w:cs="Times New Roman"/>
          <w:sz w:val="18"/>
          <w:szCs w:val="18"/>
          <w:lang w:val="en-US"/>
        </w:rPr>
        <w:t>β</w:t>
      </w:r>
      <w:r w:rsidRPr="007D37B6">
        <w:rPr>
          <w:rFonts w:ascii="Times New Roman" w:hAnsi="Times New Roman" w:cs="Times New Roman"/>
          <w:sz w:val="18"/>
          <w:szCs w:val="18"/>
        </w:rPr>
        <w:t xml:space="preserve">i&gt;0 o (-) si 0&gt; </w:t>
      </w:r>
      <w:r w:rsidRPr="007D37B6">
        <w:rPr>
          <w:rFonts w:ascii="Times New Roman" w:hAnsi="Times New Roman" w:cs="Times New Roman"/>
          <w:sz w:val="18"/>
          <w:szCs w:val="18"/>
          <w:lang w:val="en-US"/>
        </w:rPr>
        <w:t>β</w:t>
      </w:r>
      <w:r w:rsidRPr="007D37B6">
        <w:rPr>
          <w:rFonts w:ascii="Times New Roman" w:hAnsi="Times New Roman" w:cs="Times New Roman"/>
          <w:sz w:val="18"/>
          <w:szCs w:val="18"/>
        </w:rPr>
        <w:t xml:space="preserve">i.  </w:t>
      </w:r>
    </w:p>
  </w:footnote>
  <w:footnote w:id="19">
    <w:p w:rsidR="00CB090E" w:rsidRPr="00125C87" w:rsidRDefault="00CB090E" w:rsidP="00B71AE9">
      <w:pPr>
        <w:pStyle w:val="Textonotapie"/>
        <w:jc w:val="both"/>
        <w:rPr>
          <w:rFonts w:ascii="Times New Roman" w:hAnsi="Times New Roman" w:cs="Times New Roman"/>
          <w:sz w:val="18"/>
          <w:szCs w:val="18"/>
        </w:rPr>
      </w:pPr>
      <w:r w:rsidRPr="00092A23">
        <w:rPr>
          <w:rStyle w:val="Refdenotaalpie"/>
          <w:rFonts w:ascii="Times New Roman" w:hAnsi="Times New Roman" w:cs="Times New Roman"/>
        </w:rPr>
        <w:footnoteRef/>
      </w:r>
      <w:r w:rsidRPr="00092A23">
        <w:rPr>
          <w:rFonts w:ascii="Times New Roman" w:hAnsi="Times New Roman" w:cs="Times New Roman"/>
        </w:rPr>
        <w:t xml:space="preserve"> </w:t>
      </w:r>
      <w:r w:rsidRPr="00125C87">
        <w:rPr>
          <w:rFonts w:ascii="Times New Roman" w:hAnsi="Times New Roman" w:cs="Times New Roman"/>
          <w:sz w:val="18"/>
          <w:szCs w:val="18"/>
        </w:rPr>
        <w:t>En un estudio previo sobre este tema, que cubre los primeros periodos de la aplicación de la regulación asimétrica, enc</w:t>
      </w:r>
      <w:r>
        <w:rPr>
          <w:rFonts w:ascii="Times New Roman" w:hAnsi="Times New Roman" w:cs="Times New Roman"/>
          <w:sz w:val="18"/>
          <w:szCs w:val="18"/>
        </w:rPr>
        <w:t>ontramos que sí</w:t>
      </w:r>
      <w:r w:rsidRPr="00125C87">
        <w:rPr>
          <w:rFonts w:ascii="Times New Roman" w:hAnsi="Times New Roman" w:cs="Times New Roman"/>
          <w:sz w:val="18"/>
          <w:szCs w:val="18"/>
        </w:rPr>
        <w:t xml:space="preserve"> hubo impacto estadísticamente significativo entre la variable AR y el Margen </w:t>
      </w:r>
      <w:proofErr w:type="spellStart"/>
      <w:r w:rsidRPr="00125C87">
        <w:rPr>
          <w:rFonts w:ascii="Times New Roman" w:hAnsi="Times New Roman" w:cs="Times New Roman"/>
          <w:sz w:val="18"/>
          <w:szCs w:val="18"/>
        </w:rPr>
        <w:t>Ebdita</w:t>
      </w:r>
      <w:proofErr w:type="spellEnd"/>
      <w:r w:rsidRPr="00125C87">
        <w:rPr>
          <w:rFonts w:ascii="Times New Roman" w:hAnsi="Times New Roman" w:cs="Times New Roman"/>
          <w:sz w:val="18"/>
          <w:szCs w:val="18"/>
        </w:rPr>
        <w:t xml:space="preserve"> del preponderante. Esta relación no se sostiene cuando se estudia un periodo más amplio. El artículo se publicará en próximamente en la revista Análisis Económico. </w:t>
      </w:r>
    </w:p>
  </w:footnote>
  <w:footnote w:id="20">
    <w:p w:rsidR="00CB090E" w:rsidRPr="00B23856" w:rsidRDefault="00CB090E" w:rsidP="00B23856">
      <w:pPr>
        <w:pStyle w:val="Textonotapie"/>
        <w:jc w:val="both"/>
        <w:rPr>
          <w:rFonts w:ascii="Times New Roman" w:hAnsi="Times New Roman" w:cs="Times New Roman"/>
          <w:sz w:val="18"/>
          <w:szCs w:val="18"/>
        </w:rPr>
      </w:pPr>
      <w:r w:rsidRPr="00993AF5">
        <w:rPr>
          <w:rStyle w:val="Refdenotaalpie"/>
          <w:sz w:val="22"/>
          <w:szCs w:val="22"/>
        </w:rPr>
        <w:footnoteRef/>
      </w:r>
      <w:r w:rsidRPr="00993AF5">
        <w:rPr>
          <w:sz w:val="22"/>
          <w:szCs w:val="22"/>
        </w:rPr>
        <w:t xml:space="preserve"> </w:t>
      </w:r>
      <w:proofErr w:type="spellStart"/>
      <w:r w:rsidRPr="00B23856">
        <w:rPr>
          <w:rFonts w:ascii="Times New Roman" w:hAnsi="Times New Roman" w:cs="Times New Roman"/>
          <w:sz w:val="18"/>
          <w:szCs w:val="18"/>
        </w:rPr>
        <w:t>Peizt</w:t>
      </w:r>
      <w:proofErr w:type="spellEnd"/>
      <w:r w:rsidRPr="00B23856">
        <w:rPr>
          <w:rFonts w:ascii="Times New Roman" w:hAnsi="Times New Roman" w:cs="Times New Roman"/>
          <w:sz w:val="18"/>
          <w:szCs w:val="18"/>
        </w:rPr>
        <w:t xml:space="preserve"> (2005a:350) establece que cuando las TTM son cercanas a costo, un aumento pequeño en la TTM del entrante no afectará su participación de mercado. El modelo predice </w:t>
      </w:r>
      <w:r>
        <w:rPr>
          <w:rFonts w:ascii="Times New Roman" w:hAnsi="Times New Roman" w:cs="Times New Roman"/>
          <w:sz w:val="18"/>
          <w:szCs w:val="18"/>
        </w:rPr>
        <w:t xml:space="preserve">que </w:t>
      </w:r>
      <w:r w:rsidRPr="00B23856">
        <w:rPr>
          <w:rFonts w:ascii="Times New Roman" w:hAnsi="Times New Roman" w:cs="Times New Roman"/>
          <w:sz w:val="18"/>
          <w:szCs w:val="18"/>
        </w:rPr>
        <w:t xml:space="preserve">ambos operadores tendrán incentivos a bajar los precios, por lo que los precios relativos podrían no modificarse de manera significativa y por ende, no cambian las participaciones. </w:t>
      </w:r>
    </w:p>
  </w:footnote>
  <w:footnote w:id="21">
    <w:p w:rsidR="00CB090E" w:rsidRPr="00B23856" w:rsidRDefault="00CB090E" w:rsidP="00B23856">
      <w:pPr>
        <w:pStyle w:val="Textonotapie"/>
        <w:jc w:val="both"/>
        <w:rPr>
          <w:rFonts w:ascii="Times New Roman" w:hAnsi="Times New Roman" w:cs="Times New Roman"/>
          <w:sz w:val="18"/>
          <w:szCs w:val="18"/>
        </w:rPr>
      </w:pPr>
      <w:r w:rsidRPr="00B23856">
        <w:rPr>
          <w:rStyle w:val="Refdenotaalpie"/>
          <w:rFonts w:ascii="Times New Roman" w:hAnsi="Times New Roman" w:cs="Times New Roman"/>
        </w:rPr>
        <w:footnoteRef/>
      </w:r>
      <w:r w:rsidRPr="00B23856">
        <w:rPr>
          <w:rFonts w:ascii="Times New Roman" w:hAnsi="Times New Roman" w:cs="Times New Roman"/>
        </w:rPr>
        <w:t xml:space="preserve"> </w:t>
      </w:r>
      <w:r w:rsidRPr="00B23856">
        <w:rPr>
          <w:rFonts w:ascii="Times New Roman" w:hAnsi="Times New Roman" w:cs="Times New Roman"/>
          <w:sz w:val="18"/>
          <w:szCs w:val="18"/>
        </w:rPr>
        <w:t xml:space="preserve">En abril de 2015, el IFT autorizó la adquisición de Nextel por parte de AT&amp;T; empresa que concentra también a  Iusacell y </w:t>
      </w:r>
      <w:proofErr w:type="spellStart"/>
      <w:r w:rsidRPr="00B23856">
        <w:rPr>
          <w:rFonts w:ascii="Times New Roman" w:hAnsi="Times New Roman" w:cs="Times New Roman"/>
          <w:sz w:val="18"/>
          <w:szCs w:val="18"/>
        </w:rPr>
        <w:t>Unefon</w:t>
      </w:r>
      <w:proofErr w:type="spellEnd"/>
      <w:r w:rsidRPr="00B23856">
        <w:rPr>
          <w:rFonts w:ascii="Times New Roman" w:hAnsi="Times New Roman" w:cs="Times New Roman"/>
          <w:sz w:val="18"/>
          <w:szCs w:val="18"/>
        </w:rPr>
        <w:t xml:space="preserve">. </w:t>
      </w:r>
    </w:p>
  </w:footnote>
  <w:footnote w:id="22">
    <w:p w:rsidR="00CB090E" w:rsidRPr="00B23856" w:rsidRDefault="00CB090E" w:rsidP="00413C02">
      <w:pPr>
        <w:pStyle w:val="Textonotapie"/>
        <w:jc w:val="both"/>
        <w:rPr>
          <w:rFonts w:ascii="Times New Roman" w:hAnsi="Times New Roman" w:cs="Times New Roman"/>
          <w:sz w:val="18"/>
          <w:szCs w:val="18"/>
        </w:rPr>
      </w:pPr>
      <w:r w:rsidRPr="00B23856">
        <w:rPr>
          <w:rStyle w:val="Refdenotaalpie"/>
          <w:rFonts w:ascii="Times New Roman" w:hAnsi="Times New Roman" w:cs="Times New Roman"/>
          <w:sz w:val="18"/>
          <w:szCs w:val="18"/>
        </w:rPr>
        <w:footnoteRef/>
      </w:r>
      <w:r w:rsidRPr="00B23856">
        <w:rPr>
          <w:rFonts w:ascii="Times New Roman" w:hAnsi="Times New Roman" w:cs="Times New Roman"/>
          <w:sz w:val="18"/>
          <w:szCs w:val="18"/>
        </w:rPr>
        <w:t xml:space="preserve"> El excedente del consumidor corresponde a la utilidad o beneficio que la persona recibe al consumir el servicio, pero por el cual no desembolsa un pago. Esto es, corresponde al beneficio adquirido por aquellos consumidores que disfrutan del servicio más de lo que en términos monetarios pagan. Para su estimación es necesario contar con la curva de demanda, ya que dicho beneficio o excedente no es observable en el mercado, sino debe ser inferido a través de la demanda. Esa curva muestra el mayor precio que los consumidores estarían dispuestos a pagar por cada unidad del servicio. </w:t>
      </w:r>
    </w:p>
  </w:footnote>
  <w:footnote w:id="23">
    <w:p w:rsidR="00CB090E" w:rsidRPr="00B23856" w:rsidRDefault="00CB090E" w:rsidP="00B23856">
      <w:pPr>
        <w:pStyle w:val="Textonotapie"/>
        <w:jc w:val="both"/>
        <w:rPr>
          <w:rFonts w:ascii="Times New Roman" w:hAnsi="Times New Roman" w:cs="Times New Roman"/>
          <w:sz w:val="18"/>
          <w:szCs w:val="18"/>
        </w:rPr>
      </w:pPr>
      <w:r w:rsidRPr="00DE3366">
        <w:rPr>
          <w:rStyle w:val="Refdenotaalpie"/>
          <w:rFonts w:ascii="Times New Roman" w:hAnsi="Times New Roman" w:cs="Times New Roman"/>
        </w:rPr>
        <w:footnoteRef/>
      </w:r>
      <w:r w:rsidRPr="00DE3366">
        <w:rPr>
          <w:rFonts w:ascii="Times New Roman" w:hAnsi="Times New Roman" w:cs="Times New Roman"/>
        </w:rPr>
        <w:t xml:space="preserve"> </w:t>
      </w:r>
      <w:r w:rsidRPr="00B23856">
        <w:rPr>
          <w:rFonts w:ascii="Times New Roman" w:hAnsi="Times New Roman" w:cs="Times New Roman"/>
          <w:sz w:val="18"/>
          <w:szCs w:val="18"/>
        </w:rPr>
        <w:t>Esta cifra sugiere una elasticid</w:t>
      </w:r>
      <w:r>
        <w:rPr>
          <w:rFonts w:ascii="Times New Roman" w:hAnsi="Times New Roman" w:cs="Times New Roman"/>
          <w:sz w:val="18"/>
          <w:szCs w:val="18"/>
        </w:rPr>
        <w:t>ad precio muy inferior a 1 y cercana a 0.6</w:t>
      </w:r>
      <w:r w:rsidRPr="00B23856">
        <w:rPr>
          <w:rFonts w:ascii="Times New Roman" w:hAnsi="Times New Roman" w:cs="Times New Roman"/>
          <w:sz w:val="18"/>
          <w:szCs w:val="18"/>
        </w:rPr>
        <w:t xml:space="preserve">. </w:t>
      </w:r>
    </w:p>
  </w:footnote>
  <w:footnote w:id="24">
    <w:p w:rsidR="00CB090E" w:rsidRPr="00B23856" w:rsidRDefault="00CB090E" w:rsidP="00B23856">
      <w:pPr>
        <w:pStyle w:val="Textonotapie"/>
        <w:jc w:val="both"/>
        <w:rPr>
          <w:rFonts w:ascii="Times New Roman" w:hAnsi="Times New Roman" w:cs="Times New Roman"/>
          <w:sz w:val="18"/>
          <w:szCs w:val="18"/>
        </w:rPr>
      </w:pPr>
      <w:r w:rsidRPr="00B23856">
        <w:rPr>
          <w:rStyle w:val="Refdenotaalpie"/>
          <w:rFonts w:ascii="Times New Roman" w:hAnsi="Times New Roman" w:cs="Times New Roman"/>
          <w:sz w:val="18"/>
          <w:szCs w:val="18"/>
        </w:rPr>
        <w:footnoteRef/>
      </w:r>
      <w:r w:rsidRPr="00B23856">
        <w:rPr>
          <w:rFonts w:ascii="Times New Roman" w:hAnsi="Times New Roman" w:cs="Times New Roman"/>
          <w:sz w:val="18"/>
          <w:szCs w:val="18"/>
        </w:rPr>
        <w:t xml:space="preserve"> El excedente del consumidor aumenta en la medida que se incrementa el consumo fundamentalmente para cualquier forma que tome la demanda, salvo si la demanda es perfectamente elástica o inelástica. El gasto  puede aumentar o reducirse en la medida que cae el precio d</w:t>
      </w:r>
      <w:r>
        <w:rPr>
          <w:rFonts w:ascii="Times New Roman" w:hAnsi="Times New Roman" w:cs="Times New Roman"/>
          <w:sz w:val="18"/>
          <w:szCs w:val="18"/>
        </w:rPr>
        <w:t>e</w:t>
      </w:r>
      <w:r w:rsidRPr="00B23856">
        <w:rPr>
          <w:rFonts w:ascii="Times New Roman" w:hAnsi="Times New Roman" w:cs="Times New Roman"/>
          <w:sz w:val="18"/>
          <w:szCs w:val="18"/>
        </w:rPr>
        <w:t xml:space="preserve">l servicio, dependiendo de la elasticidad de la demanda. </w:t>
      </w:r>
    </w:p>
  </w:footnote>
  <w:footnote w:id="25">
    <w:p w:rsidR="00CB090E" w:rsidRPr="00B23856" w:rsidRDefault="00CB090E" w:rsidP="00B70C78">
      <w:pPr>
        <w:pStyle w:val="Textonotapie"/>
        <w:jc w:val="both"/>
        <w:rPr>
          <w:sz w:val="18"/>
          <w:szCs w:val="18"/>
        </w:rPr>
      </w:pPr>
      <w:r w:rsidRPr="00B23856">
        <w:rPr>
          <w:rStyle w:val="Refdenotaalpie"/>
          <w:rFonts w:ascii="Times New Roman" w:hAnsi="Times New Roman" w:cs="Times New Roman"/>
          <w:sz w:val="18"/>
          <w:szCs w:val="18"/>
        </w:rPr>
        <w:footnoteRef/>
      </w:r>
      <w:r w:rsidRPr="00B23856">
        <w:rPr>
          <w:rFonts w:ascii="Times New Roman" w:hAnsi="Times New Roman" w:cs="Times New Roman"/>
          <w:sz w:val="18"/>
          <w:szCs w:val="18"/>
        </w:rPr>
        <w:t xml:space="preserve"> AT&amp;T reporta una ca</w:t>
      </w:r>
      <w:r>
        <w:rPr>
          <w:rFonts w:ascii="Times New Roman" w:hAnsi="Times New Roman" w:cs="Times New Roman"/>
          <w:sz w:val="18"/>
          <w:szCs w:val="18"/>
        </w:rPr>
        <w:t xml:space="preserve">ída importante de su margen </w:t>
      </w:r>
      <w:proofErr w:type="spellStart"/>
      <w:r>
        <w:rPr>
          <w:rFonts w:ascii="Times New Roman" w:hAnsi="Times New Roman" w:cs="Times New Roman"/>
          <w:sz w:val="18"/>
          <w:szCs w:val="18"/>
        </w:rPr>
        <w:t>Ebitda</w:t>
      </w:r>
      <w:proofErr w:type="spellEnd"/>
      <w:r w:rsidRPr="00B23856">
        <w:rPr>
          <w:rFonts w:ascii="Times New Roman" w:hAnsi="Times New Roman" w:cs="Times New Roman"/>
          <w:sz w:val="18"/>
          <w:szCs w:val="18"/>
        </w:rPr>
        <w:t xml:space="preserve"> a partir de junio 2015. Este comportamiento responde a un elemento exógeno al modelo. Específicamente la reestructuración de la empresa recién concentrada puede explicar esta caída en el Margen </w:t>
      </w:r>
      <w:proofErr w:type="spellStart"/>
      <w:r w:rsidRPr="00B23856">
        <w:rPr>
          <w:rFonts w:ascii="Times New Roman" w:hAnsi="Times New Roman" w:cs="Times New Roman"/>
          <w:sz w:val="18"/>
          <w:szCs w:val="18"/>
        </w:rPr>
        <w:t>Ebdita</w:t>
      </w:r>
      <w:proofErr w:type="spellEnd"/>
      <w:r w:rsidRPr="00B23856">
        <w:rPr>
          <w:rFonts w:ascii="Times New Roman" w:hAnsi="Times New Roman" w:cs="Times New Roman"/>
          <w:sz w:val="18"/>
          <w:szCs w:val="18"/>
        </w:rPr>
        <w:t xml:space="preserve"> de la empresa, más que la política pública.</w:t>
      </w:r>
      <w:r w:rsidRPr="00B23856">
        <w:rPr>
          <w:sz w:val="18"/>
          <w:szCs w:val="18"/>
        </w:rPr>
        <w:t xml:space="preserve"> </w:t>
      </w:r>
    </w:p>
  </w:footnote>
  <w:footnote w:id="26">
    <w:p w:rsidR="00CB090E" w:rsidRPr="00506FC7" w:rsidRDefault="00CB090E" w:rsidP="0058097F">
      <w:pPr>
        <w:widowControl w:val="0"/>
        <w:autoSpaceDE w:val="0"/>
        <w:autoSpaceDN w:val="0"/>
        <w:adjustRightInd w:val="0"/>
        <w:spacing w:after="0" w:line="240" w:lineRule="auto"/>
        <w:jc w:val="both"/>
        <w:rPr>
          <w:rFonts w:ascii="Times New Roman" w:hAnsi="Times New Roman" w:cs="Times New Roman"/>
          <w:sz w:val="18"/>
          <w:szCs w:val="18"/>
        </w:rPr>
      </w:pPr>
      <w:r>
        <w:rPr>
          <w:rStyle w:val="Refdenotaalpie"/>
        </w:rPr>
        <w:footnoteRef/>
      </w:r>
      <w:r>
        <w:t xml:space="preserve"> </w:t>
      </w:r>
      <w:r w:rsidRPr="00506FC7">
        <w:rPr>
          <w:rFonts w:ascii="Times New Roman" w:hAnsi="Times New Roman" w:cs="Times New Roman"/>
          <w:sz w:val="18"/>
          <w:szCs w:val="18"/>
        </w:rPr>
        <w:t xml:space="preserve">En Europa la TTM de los entrantes se elevó para permitirles un mayor margen. Al mismo tiempo, se redujo la TTM de los preponderantes a su nivel de costos. En México se redujeron ambas TTM, sin embargo la del preponderante disminuyó más y es desde 2015 igual a cero. </w:t>
      </w:r>
    </w:p>
    <w:p w:rsidR="00CB090E" w:rsidRDefault="00CB090E" w:rsidP="0058097F">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90E" w:rsidRPr="0086478E" w:rsidRDefault="00CB090E">
    <w:pPr>
      <w:pStyle w:val="Encabezado"/>
      <w:rPr>
        <w:rFonts w:ascii="Times New Roman" w:hAnsi="Times New Roman" w:cs="Times New Roman"/>
        <w:i/>
        <w:sz w:val="18"/>
        <w:szCs w:val="18"/>
      </w:rPr>
    </w:pPr>
    <w:r w:rsidRPr="0086478E">
      <w:rPr>
        <w:rFonts w:ascii="Times New Roman" w:hAnsi="Times New Roman" w:cs="Times New Roman"/>
        <w:i/>
        <w:sz w:val="18"/>
        <w:szCs w:val="18"/>
      </w:rPr>
      <w:t>Escobar, Rebeca</w:t>
    </w:r>
    <w:r w:rsidRPr="0086478E">
      <w:rPr>
        <w:rFonts w:ascii="Times New Roman" w:hAnsi="Times New Roman" w:cs="Times New Roman"/>
        <w:i/>
        <w:sz w:val="18"/>
        <w:szCs w:val="18"/>
      </w:rPr>
      <w:tab/>
    </w:r>
    <w:r w:rsidRPr="0086478E">
      <w:rPr>
        <w:rFonts w:ascii="Times New Roman" w:hAnsi="Times New Roman" w:cs="Times New Roman"/>
        <w:i/>
        <w:sz w:val="18"/>
        <w:szCs w:val="18"/>
      </w:rPr>
      <w:tab/>
      <w:t xml:space="preserve">                  </w:t>
    </w:r>
    <w:r>
      <w:rPr>
        <w:rFonts w:ascii="Times New Roman" w:hAnsi="Times New Roman" w:cs="Times New Roman"/>
        <w:i/>
        <w:sz w:val="18"/>
        <w:szCs w:val="18"/>
      </w:rPr>
      <w:t xml:space="preserve">        </w:t>
    </w:r>
    <w:r w:rsidRPr="0086478E">
      <w:rPr>
        <w:rFonts w:ascii="Times New Roman" w:hAnsi="Times New Roman" w:cs="Times New Roman"/>
        <w:i/>
        <w:sz w:val="18"/>
        <w:szCs w:val="18"/>
      </w:rPr>
      <w:t>Tarifas de Terminación Asimétricas</w:t>
    </w:r>
  </w:p>
  <w:p w:rsidR="00CB090E" w:rsidRDefault="00CB090E" w:rsidP="007863BE">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14D0A"/>
    <w:multiLevelType w:val="hybridMultilevel"/>
    <w:tmpl w:val="738AD5F2"/>
    <w:lvl w:ilvl="0" w:tplc="114A8B08">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43D22"/>
    <w:multiLevelType w:val="hybridMultilevel"/>
    <w:tmpl w:val="ECC8705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090BE6"/>
    <w:multiLevelType w:val="hybridMultilevel"/>
    <w:tmpl w:val="AEF4491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D335B4"/>
    <w:multiLevelType w:val="hybridMultilevel"/>
    <w:tmpl w:val="D5EC454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A519AB"/>
    <w:multiLevelType w:val="hybridMultilevel"/>
    <w:tmpl w:val="59B856B4"/>
    <w:lvl w:ilvl="0" w:tplc="18A48C4A">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A570A6"/>
    <w:multiLevelType w:val="hybridMultilevel"/>
    <w:tmpl w:val="7E867FF8"/>
    <w:lvl w:ilvl="0" w:tplc="A484DB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203FD8"/>
    <w:multiLevelType w:val="hybridMultilevel"/>
    <w:tmpl w:val="BB3216C2"/>
    <w:lvl w:ilvl="0" w:tplc="8DB00888">
      <w:start w:val="1"/>
      <w:numFmt w:val="decimal"/>
      <w:lvlText w:val="%1."/>
      <w:lvlJc w:val="left"/>
      <w:pPr>
        <w:tabs>
          <w:tab w:val="num" w:pos="720"/>
        </w:tabs>
        <w:ind w:left="720" w:hanging="360"/>
      </w:pPr>
    </w:lvl>
    <w:lvl w:ilvl="1" w:tplc="AA7A8720" w:tentative="1">
      <w:start w:val="1"/>
      <w:numFmt w:val="decimal"/>
      <w:lvlText w:val="%2."/>
      <w:lvlJc w:val="left"/>
      <w:pPr>
        <w:tabs>
          <w:tab w:val="num" w:pos="1440"/>
        </w:tabs>
        <w:ind w:left="1440" w:hanging="360"/>
      </w:pPr>
    </w:lvl>
    <w:lvl w:ilvl="2" w:tplc="5D20249A" w:tentative="1">
      <w:start w:val="1"/>
      <w:numFmt w:val="decimal"/>
      <w:lvlText w:val="%3."/>
      <w:lvlJc w:val="left"/>
      <w:pPr>
        <w:tabs>
          <w:tab w:val="num" w:pos="2160"/>
        </w:tabs>
        <w:ind w:left="2160" w:hanging="360"/>
      </w:pPr>
    </w:lvl>
    <w:lvl w:ilvl="3" w:tplc="B4360DBA" w:tentative="1">
      <w:start w:val="1"/>
      <w:numFmt w:val="decimal"/>
      <w:lvlText w:val="%4."/>
      <w:lvlJc w:val="left"/>
      <w:pPr>
        <w:tabs>
          <w:tab w:val="num" w:pos="2880"/>
        </w:tabs>
        <w:ind w:left="2880" w:hanging="360"/>
      </w:pPr>
    </w:lvl>
    <w:lvl w:ilvl="4" w:tplc="1E82DBFC" w:tentative="1">
      <w:start w:val="1"/>
      <w:numFmt w:val="decimal"/>
      <w:lvlText w:val="%5."/>
      <w:lvlJc w:val="left"/>
      <w:pPr>
        <w:tabs>
          <w:tab w:val="num" w:pos="3600"/>
        </w:tabs>
        <w:ind w:left="3600" w:hanging="360"/>
      </w:pPr>
    </w:lvl>
    <w:lvl w:ilvl="5" w:tplc="F1EA266C" w:tentative="1">
      <w:start w:val="1"/>
      <w:numFmt w:val="decimal"/>
      <w:lvlText w:val="%6."/>
      <w:lvlJc w:val="left"/>
      <w:pPr>
        <w:tabs>
          <w:tab w:val="num" w:pos="4320"/>
        </w:tabs>
        <w:ind w:left="4320" w:hanging="360"/>
      </w:pPr>
    </w:lvl>
    <w:lvl w:ilvl="6" w:tplc="69149914" w:tentative="1">
      <w:start w:val="1"/>
      <w:numFmt w:val="decimal"/>
      <w:lvlText w:val="%7."/>
      <w:lvlJc w:val="left"/>
      <w:pPr>
        <w:tabs>
          <w:tab w:val="num" w:pos="5040"/>
        </w:tabs>
        <w:ind w:left="5040" w:hanging="360"/>
      </w:pPr>
    </w:lvl>
    <w:lvl w:ilvl="7" w:tplc="1D3E47B2" w:tentative="1">
      <w:start w:val="1"/>
      <w:numFmt w:val="decimal"/>
      <w:lvlText w:val="%8."/>
      <w:lvlJc w:val="left"/>
      <w:pPr>
        <w:tabs>
          <w:tab w:val="num" w:pos="5760"/>
        </w:tabs>
        <w:ind w:left="5760" w:hanging="360"/>
      </w:pPr>
    </w:lvl>
    <w:lvl w:ilvl="8" w:tplc="DC6C96CC" w:tentative="1">
      <w:start w:val="1"/>
      <w:numFmt w:val="decimal"/>
      <w:lvlText w:val="%9."/>
      <w:lvlJc w:val="left"/>
      <w:pPr>
        <w:tabs>
          <w:tab w:val="num" w:pos="6480"/>
        </w:tabs>
        <w:ind w:left="6480" w:hanging="360"/>
      </w:pPr>
    </w:lvl>
  </w:abstractNum>
  <w:abstractNum w:abstractNumId="7" w15:restartNumberingAfterBreak="0">
    <w:nsid w:val="1CC91142"/>
    <w:multiLevelType w:val="hybridMultilevel"/>
    <w:tmpl w:val="28B89D4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35146F"/>
    <w:multiLevelType w:val="hybridMultilevel"/>
    <w:tmpl w:val="0F60405A"/>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FCA4167"/>
    <w:multiLevelType w:val="hybridMultilevel"/>
    <w:tmpl w:val="781681BE"/>
    <w:lvl w:ilvl="0" w:tplc="B94C208C">
      <w:start w:val="1"/>
      <w:numFmt w:val="bullet"/>
      <w:lvlText w:val=" "/>
      <w:lvlJc w:val="left"/>
      <w:pPr>
        <w:tabs>
          <w:tab w:val="num" w:pos="720"/>
        </w:tabs>
        <w:ind w:left="720" w:hanging="360"/>
      </w:pPr>
      <w:rPr>
        <w:rFonts w:ascii="Tw Cen MT" w:hAnsi="Tw Cen MT" w:hint="default"/>
      </w:rPr>
    </w:lvl>
    <w:lvl w:ilvl="1" w:tplc="193A0A76" w:tentative="1">
      <w:start w:val="1"/>
      <w:numFmt w:val="bullet"/>
      <w:lvlText w:val=" "/>
      <w:lvlJc w:val="left"/>
      <w:pPr>
        <w:tabs>
          <w:tab w:val="num" w:pos="1440"/>
        </w:tabs>
        <w:ind w:left="1440" w:hanging="360"/>
      </w:pPr>
      <w:rPr>
        <w:rFonts w:ascii="Tw Cen MT" w:hAnsi="Tw Cen MT" w:hint="default"/>
      </w:rPr>
    </w:lvl>
    <w:lvl w:ilvl="2" w:tplc="AA3C2D72" w:tentative="1">
      <w:start w:val="1"/>
      <w:numFmt w:val="bullet"/>
      <w:lvlText w:val=" "/>
      <w:lvlJc w:val="left"/>
      <w:pPr>
        <w:tabs>
          <w:tab w:val="num" w:pos="2160"/>
        </w:tabs>
        <w:ind w:left="2160" w:hanging="360"/>
      </w:pPr>
      <w:rPr>
        <w:rFonts w:ascii="Tw Cen MT" w:hAnsi="Tw Cen MT" w:hint="default"/>
      </w:rPr>
    </w:lvl>
    <w:lvl w:ilvl="3" w:tplc="D230121A" w:tentative="1">
      <w:start w:val="1"/>
      <w:numFmt w:val="bullet"/>
      <w:lvlText w:val=" "/>
      <w:lvlJc w:val="left"/>
      <w:pPr>
        <w:tabs>
          <w:tab w:val="num" w:pos="2880"/>
        </w:tabs>
        <w:ind w:left="2880" w:hanging="360"/>
      </w:pPr>
      <w:rPr>
        <w:rFonts w:ascii="Tw Cen MT" w:hAnsi="Tw Cen MT" w:hint="default"/>
      </w:rPr>
    </w:lvl>
    <w:lvl w:ilvl="4" w:tplc="C400AD46" w:tentative="1">
      <w:start w:val="1"/>
      <w:numFmt w:val="bullet"/>
      <w:lvlText w:val=" "/>
      <w:lvlJc w:val="left"/>
      <w:pPr>
        <w:tabs>
          <w:tab w:val="num" w:pos="3600"/>
        </w:tabs>
        <w:ind w:left="3600" w:hanging="360"/>
      </w:pPr>
      <w:rPr>
        <w:rFonts w:ascii="Tw Cen MT" w:hAnsi="Tw Cen MT" w:hint="default"/>
      </w:rPr>
    </w:lvl>
    <w:lvl w:ilvl="5" w:tplc="DCD802DE" w:tentative="1">
      <w:start w:val="1"/>
      <w:numFmt w:val="bullet"/>
      <w:lvlText w:val=" "/>
      <w:lvlJc w:val="left"/>
      <w:pPr>
        <w:tabs>
          <w:tab w:val="num" w:pos="4320"/>
        </w:tabs>
        <w:ind w:left="4320" w:hanging="360"/>
      </w:pPr>
      <w:rPr>
        <w:rFonts w:ascii="Tw Cen MT" w:hAnsi="Tw Cen MT" w:hint="default"/>
      </w:rPr>
    </w:lvl>
    <w:lvl w:ilvl="6" w:tplc="3A7E7D08" w:tentative="1">
      <w:start w:val="1"/>
      <w:numFmt w:val="bullet"/>
      <w:lvlText w:val=" "/>
      <w:lvlJc w:val="left"/>
      <w:pPr>
        <w:tabs>
          <w:tab w:val="num" w:pos="5040"/>
        </w:tabs>
        <w:ind w:left="5040" w:hanging="360"/>
      </w:pPr>
      <w:rPr>
        <w:rFonts w:ascii="Tw Cen MT" w:hAnsi="Tw Cen MT" w:hint="default"/>
      </w:rPr>
    </w:lvl>
    <w:lvl w:ilvl="7" w:tplc="3C4EE41A" w:tentative="1">
      <w:start w:val="1"/>
      <w:numFmt w:val="bullet"/>
      <w:lvlText w:val=" "/>
      <w:lvlJc w:val="left"/>
      <w:pPr>
        <w:tabs>
          <w:tab w:val="num" w:pos="5760"/>
        </w:tabs>
        <w:ind w:left="5760" w:hanging="360"/>
      </w:pPr>
      <w:rPr>
        <w:rFonts w:ascii="Tw Cen MT" w:hAnsi="Tw Cen MT" w:hint="default"/>
      </w:rPr>
    </w:lvl>
    <w:lvl w:ilvl="8" w:tplc="35D0EFC0" w:tentative="1">
      <w:start w:val="1"/>
      <w:numFmt w:val="bullet"/>
      <w:lvlText w:val=" "/>
      <w:lvlJc w:val="left"/>
      <w:pPr>
        <w:tabs>
          <w:tab w:val="num" w:pos="6480"/>
        </w:tabs>
        <w:ind w:left="6480" w:hanging="360"/>
      </w:pPr>
      <w:rPr>
        <w:rFonts w:ascii="Tw Cen MT" w:hAnsi="Tw Cen MT" w:hint="default"/>
      </w:rPr>
    </w:lvl>
  </w:abstractNum>
  <w:abstractNum w:abstractNumId="10" w15:restartNumberingAfterBreak="0">
    <w:nsid w:val="2062121B"/>
    <w:multiLevelType w:val="hybridMultilevel"/>
    <w:tmpl w:val="A7CEF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1C1101"/>
    <w:multiLevelType w:val="hybridMultilevel"/>
    <w:tmpl w:val="FA38D23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3D0FAD"/>
    <w:multiLevelType w:val="hybridMultilevel"/>
    <w:tmpl w:val="C1FA436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326F4A"/>
    <w:multiLevelType w:val="hybridMultilevel"/>
    <w:tmpl w:val="BB3216C2"/>
    <w:lvl w:ilvl="0" w:tplc="8DB00888">
      <w:start w:val="1"/>
      <w:numFmt w:val="decimal"/>
      <w:lvlText w:val="%1."/>
      <w:lvlJc w:val="left"/>
      <w:pPr>
        <w:tabs>
          <w:tab w:val="num" w:pos="720"/>
        </w:tabs>
        <w:ind w:left="720" w:hanging="360"/>
      </w:pPr>
    </w:lvl>
    <w:lvl w:ilvl="1" w:tplc="AA7A8720" w:tentative="1">
      <w:start w:val="1"/>
      <w:numFmt w:val="decimal"/>
      <w:lvlText w:val="%2."/>
      <w:lvlJc w:val="left"/>
      <w:pPr>
        <w:tabs>
          <w:tab w:val="num" w:pos="1440"/>
        </w:tabs>
        <w:ind w:left="1440" w:hanging="360"/>
      </w:pPr>
    </w:lvl>
    <w:lvl w:ilvl="2" w:tplc="5D20249A" w:tentative="1">
      <w:start w:val="1"/>
      <w:numFmt w:val="decimal"/>
      <w:lvlText w:val="%3."/>
      <w:lvlJc w:val="left"/>
      <w:pPr>
        <w:tabs>
          <w:tab w:val="num" w:pos="2160"/>
        </w:tabs>
        <w:ind w:left="2160" w:hanging="360"/>
      </w:pPr>
    </w:lvl>
    <w:lvl w:ilvl="3" w:tplc="B4360DBA" w:tentative="1">
      <w:start w:val="1"/>
      <w:numFmt w:val="decimal"/>
      <w:lvlText w:val="%4."/>
      <w:lvlJc w:val="left"/>
      <w:pPr>
        <w:tabs>
          <w:tab w:val="num" w:pos="2880"/>
        </w:tabs>
        <w:ind w:left="2880" w:hanging="360"/>
      </w:pPr>
    </w:lvl>
    <w:lvl w:ilvl="4" w:tplc="1E82DBFC" w:tentative="1">
      <w:start w:val="1"/>
      <w:numFmt w:val="decimal"/>
      <w:lvlText w:val="%5."/>
      <w:lvlJc w:val="left"/>
      <w:pPr>
        <w:tabs>
          <w:tab w:val="num" w:pos="3600"/>
        </w:tabs>
        <w:ind w:left="3600" w:hanging="360"/>
      </w:pPr>
    </w:lvl>
    <w:lvl w:ilvl="5" w:tplc="F1EA266C" w:tentative="1">
      <w:start w:val="1"/>
      <w:numFmt w:val="decimal"/>
      <w:lvlText w:val="%6."/>
      <w:lvlJc w:val="left"/>
      <w:pPr>
        <w:tabs>
          <w:tab w:val="num" w:pos="4320"/>
        </w:tabs>
        <w:ind w:left="4320" w:hanging="360"/>
      </w:pPr>
    </w:lvl>
    <w:lvl w:ilvl="6" w:tplc="69149914" w:tentative="1">
      <w:start w:val="1"/>
      <w:numFmt w:val="decimal"/>
      <w:lvlText w:val="%7."/>
      <w:lvlJc w:val="left"/>
      <w:pPr>
        <w:tabs>
          <w:tab w:val="num" w:pos="5040"/>
        </w:tabs>
        <w:ind w:left="5040" w:hanging="360"/>
      </w:pPr>
    </w:lvl>
    <w:lvl w:ilvl="7" w:tplc="1D3E47B2" w:tentative="1">
      <w:start w:val="1"/>
      <w:numFmt w:val="decimal"/>
      <w:lvlText w:val="%8."/>
      <w:lvlJc w:val="left"/>
      <w:pPr>
        <w:tabs>
          <w:tab w:val="num" w:pos="5760"/>
        </w:tabs>
        <w:ind w:left="5760" w:hanging="360"/>
      </w:pPr>
    </w:lvl>
    <w:lvl w:ilvl="8" w:tplc="DC6C96CC" w:tentative="1">
      <w:start w:val="1"/>
      <w:numFmt w:val="decimal"/>
      <w:lvlText w:val="%9."/>
      <w:lvlJc w:val="left"/>
      <w:pPr>
        <w:tabs>
          <w:tab w:val="num" w:pos="6480"/>
        </w:tabs>
        <w:ind w:left="6480" w:hanging="360"/>
      </w:pPr>
    </w:lvl>
  </w:abstractNum>
  <w:abstractNum w:abstractNumId="14" w15:restartNumberingAfterBreak="0">
    <w:nsid w:val="30740782"/>
    <w:multiLevelType w:val="hybridMultilevel"/>
    <w:tmpl w:val="2C2CDAB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C63983"/>
    <w:multiLevelType w:val="hybridMultilevel"/>
    <w:tmpl w:val="4F18B9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C9070E"/>
    <w:multiLevelType w:val="hybridMultilevel"/>
    <w:tmpl w:val="C4AC93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344938"/>
    <w:multiLevelType w:val="hybridMultilevel"/>
    <w:tmpl w:val="F2BA7A6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F66F71"/>
    <w:multiLevelType w:val="hybridMultilevel"/>
    <w:tmpl w:val="8B6AF050"/>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434977BB"/>
    <w:multiLevelType w:val="hybridMultilevel"/>
    <w:tmpl w:val="CE4A99F0"/>
    <w:lvl w:ilvl="0" w:tplc="114A8B08">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7A6650"/>
    <w:multiLevelType w:val="hybridMultilevel"/>
    <w:tmpl w:val="BFE686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C23476"/>
    <w:multiLevelType w:val="hybridMultilevel"/>
    <w:tmpl w:val="2130998C"/>
    <w:lvl w:ilvl="0" w:tplc="E8DCEB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6919C9"/>
    <w:multiLevelType w:val="hybridMultilevel"/>
    <w:tmpl w:val="031CA97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EF3733"/>
    <w:multiLevelType w:val="hybridMultilevel"/>
    <w:tmpl w:val="C58E9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A97893"/>
    <w:multiLevelType w:val="hybridMultilevel"/>
    <w:tmpl w:val="6FE63754"/>
    <w:lvl w:ilvl="0" w:tplc="3858E3B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AF67EFA"/>
    <w:multiLevelType w:val="hybridMultilevel"/>
    <w:tmpl w:val="FD924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D963094"/>
    <w:multiLevelType w:val="hybridMultilevel"/>
    <w:tmpl w:val="F2BA7A6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CB1DD2"/>
    <w:multiLevelType w:val="hybridMultilevel"/>
    <w:tmpl w:val="75BE726C"/>
    <w:lvl w:ilvl="0" w:tplc="114A8B08">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900416"/>
    <w:multiLevelType w:val="hybridMultilevel"/>
    <w:tmpl w:val="13FCF50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DD410D"/>
    <w:multiLevelType w:val="hybridMultilevel"/>
    <w:tmpl w:val="F2D0DF8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1123BC"/>
    <w:multiLevelType w:val="hybridMultilevel"/>
    <w:tmpl w:val="C79099BE"/>
    <w:lvl w:ilvl="0" w:tplc="E4FAF5E4">
      <w:start w:val="1"/>
      <w:numFmt w:val="lowerLetter"/>
      <w:lvlText w:val="%1."/>
      <w:lvlJc w:val="left"/>
      <w:pPr>
        <w:ind w:left="502"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2D650F"/>
    <w:multiLevelType w:val="hybridMultilevel"/>
    <w:tmpl w:val="71BA5A72"/>
    <w:lvl w:ilvl="0" w:tplc="5CA6E12C">
      <w:start w:val="1"/>
      <w:numFmt w:val="bullet"/>
      <w:lvlText w:val=""/>
      <w:lvlJc w:val="left"/>
      <w:pPr>
        <w:ind w:left="720" w:hanging="360"/>
      </w:pPr>
      <w:rPr>
        <w:rFonts w:ascii="Symbol" w:eastAsia="Times New Roman"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73A04D3"/>
    <w:multiLevelType w:val="hybridMultilevel"/>
    <w:tmpl w:val="D0B0682E"/>
    <w:lvl w:ilvl="0" w:tplc="A3349814">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7702D01"/>
    <w:multiLevelType w:val="hybridMultilevel"/>
    <w:tmpl w:val="940ADC1C"/>
    <w:lvl w:ilvl="0" w:tplc="080A000F">
      <w:start w:val="1"/>
      <w:numFmt w:val="decimal"/>
      <w:lvlText w:val="%1."/>
      <w:lvlJc w:val="left"/>
      <w:pPr>
        <w:ind w:left="550" w:hanging="360"/>
      </w:p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34" w15:restartNumberingAfterBreak="0">
    <w:nsid w:val="58FA2FEA"/>
    <w:multiLevelType w:val="hybridMultilevel"/>
    <w:tmpl w:val="1E98337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A06625B"/>
    <w:multiLevelType w:val="hybridMultilevel"/>
    <w:tmpl w:val="DC92903E"/>
    <w:lvl w:ilvl="0" w:tplc="1994AA5E">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31D1487"/>
    <w:multiLevelType w:val="hybridMultilevel"/>
    <w:tmpl w:val="E3864B4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420695F"/>
    <w:multiLevelType w:val="hybridMultilevel"/>
    <w:tmpl w:val="431E477A"/>
    <w:lvl w:ilvl="0" w:tplc="5CA6E12C">
      <w:start w:val="1"/>
      <w:numFmt w:val="bullet"/>
      <w:lvlText w:val=""/>
      <w:lvlJc w:val="left"/>
      <w:pPr>
        <w:ind w:left="720" w:hanging="360"/>
      </w:pPr>
      <w:rPr>
        <w:rFonts w:ascii="Symbol" w:eastAsia="Times New Roman"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8C52106"/>
    <w:multiLevelType w:val="hybridMultilevel"/>
    <w:tmpl w:val="1DB60E3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92E517E"/>
    <w:multiLevelType w:val="hybridMultilevel"/>
    <w:tmpl w:val="06DA5AF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B58579A"/>
    <w:multiLevelType w:val="hybridMultilevel"/>
    <w:tmpl w:val="2560359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F014C5C"/>
    <w:multiLevelType w:val="hybridMultilevel"/>
    <w:tmpl w:val="F0EE70F8"/>
    <w:lvl w:ilvl="0" w:tplc="1D6C2DC0">
      <w:start w:val="1"/>
      <w:numFmt w:val="decimal"/>
      <w:lvlText w:val="%1."/>
      <w:lvlJc w:val="left"/>
      <w:pPr>
        <w:ind w:left="192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42" w15:restartNumberingAfterBreak="0">
    <w:nsid w:val="75395F4E"/>
    <w:multiLevelType w:val="hybridMultilevel"/>
    <w:tmpl w:val="023616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9910A74"/>
    <w:multiLevelType w:val="hybridMultilevel"/>
    <w:tmpl w:val="7C901D3A"/>
    <w:lvl w:ilvl="0" w:tplc="91E2FD92">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294E85"/>
    <w:multiLevelType w:val="hybridMultilevel"/>
    <w:tmpl w:val="CA0E18B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7AE31FC2"/>
    <w:multiLevelType w:val="hybridMultilevel"/>
    <w:tmpl w:val="15C6B174"/>
    <w:lvl w:ilvl="0" w:tplc="51E2A8B8">
      <w:numFmt w:val="bullet"/>
      <w:lvlText w:val=""/>
      <w:lvlJc w:val="left"/>
      <w:pPr>
        <w:ind w:left="720" w:hanging="360"/>
      </w:pPr>
      <w:rPr>
        <w:rFonts w:ascii="Wingdings" w:eastAsiaTheme="minorEastAsia" w:hAnsi="Wingding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C4413CE"/>
    <w:multiLevelType w:val="hybridMultilevel"/>
    <w:tmpl w:val="2560359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CE8144E"/>
    <w:multiLevelType w:val="hybridMultilevel"/>
    <w:tmpl w:val="F8B24F12"/>
    <w:lvl w:ilvl="0" w:tplc="A9AE29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E4D2A4F"/>
    <w:multiLevelType w:val="hybridMultilevel"/>
    <w:tmpl w:val="BB3216C2"/>
    <w:lvl w:ilvl="0" w:tplc="8DB00888">
      <w:start w:val="1"/>
      <w:numFmt w:val="decimal"/>
      <w:lvlText w:val="%1."/>
      <w:lvlJc w:val="left"/>
      <w:pPr>
        <w:tabs>
          <w:tab w:val="num" w:pos="720"/>
        </w:tabs>
        <w:ind w:left="720" w:hanging="360"/>
      </w:pPr>
    </w:lvl>
    <w:lvl w:ilvl="1" w:tplc="AA7A8720" w:tentative="1">
      <w:start w:val="1"/>
      <w:numFmt w:val="decimal"/>
      <w:lvlText w:val="%2."/>
      <w:lvlJc w:val="left"/>
      <w:pPr>
        <w:tabs>
          <w:tab w:val="num" w:pos="1440"/>
        </w:tabs>
        <w:ind w:left="1440" w:hanging="360"/>
      </w:pPr>
    </w:lvl>
    <w:lvl w:ilvl="2" w:tplc="5D20249A" w:tentative="1">
      <w:start w:val="1"/>
      <w:numFmt w:val="decimal"/>
      <w:lvlText w:val="%3."/>
      <w:lvlJc w:val="left"/>
      <w:pPr>
        <w:tabs>
          <w:tab w:val="num" w:pos="2160"/>
        </w:tabs>
        <w:ind w:left="2160" w:hanging="360"/>
      </w:pPr>
    </w:lvl>
    <w:lvl w:ilvl="3" w:tplc="B4360DBA" w:tentative="1">
      <w:start w:val="1"/>
      <w:numFmt w:val="decimal"/>
      <w:lvlText w:val="%4."/>
      <w:lvlJc w:val="left"/>
      <w:pPr>
        <w:tabs>
          <w:tab w:val="num" w:pos="2880"/>
        </w:tabs>
        <w:ind w:left="2880" w:hanging="360"/>
      </w:pPr>
    </w:lvl>
    <w:lvl w:ilvl="4" w:tplc="1E82DBFC" w:tentative="1">
      <w:start w:val="1"/>
      <w:numFmt w:val="decimal"/>
      <w:lvlText w:val="%5."/>
      <w:lvlJc w:val="left"/>
      <w:pPr>
        <w:tabs>
          <w:tab w:val="num" w:pos="3600"/>
        </w:tabs>
        <w:ind w:left="3600" w:hanging="360"/>
      </w:pPr>
    </w:lvl>
    <w:lvl w:ilvl="5" w:tplc="F1EA266C" w:tentative="1">
      <w:start w:val="1"/>
      <w:numFmt w:val="decimal"/>
      <w:lvlText w:val="%6."/>
      <w:lvlJc w:val="left"/>
      <w:pPr>
        <w:tabs>
          <w:tab w:val="num" w:pos="4320"/>
        </w:tabs>
        <w:ind w:left="4320" w:hanging="360"/>
      </w:pPr>
    </w:lvl>
    <w:lvl w:ilvl="6" w:tplc="69149914" w:tentative="1">
      <w:start w:val="1"/>
      <w:numFmt w:val="decimal"/>
      <w:lvlText w:val="%7."/>
      <w:lvlJc w:val="left"/>
      <w:pPr>
        <w:tabs>
          <w:tab w:val="num" w:pos="5040"/>
        </w:tabs>
        <w:ind w:left="5040" w:hanging="360"/>
      </w:pPr>
    </w:lvl>
    <w:lvl w:ilvl="7" w:tplc="1D3E47B2" w:tentative="1">
      <w:start w:val="1"/>
      <w:numFmt w:val="decimal"/>
      <w:lvlText w:val="%8."/>
      <w:lvlJc w:val="left"/>
      <w:pPr>
        <w:tabs>
          <w:tab w:val="num" w:pos="5760"/>
        </w:tabs>
        <w:ind w:left="5760" w:hanging="360"/>
      </w:pPr>
    </w:lvl>
    <w:lvl w:ilvl="8" w:tplc="DC6C96CC" w:tentative="1">
      <w:start w:val="1"/>
      <w:numFmt w:val="decimal"/>
      <w:lvlText w:val="%9."/>
      <w:lvlJc w:val="left"/>
      <w:pPr>
        <w:tabs>
          <w:tab w:val="num" w:pos="6480"/>
        </w:tabs>
        <w:ind w:left="6480" w:hanging="360"/>
      </w:pPr>
    </w:lvl>
  </w:abstractNum>
  <w:abstractNum w:abstractNumId="49" w15:restartNumberingAfterBreak="0">
    <w:nsid w:val="7F566D38"/>
    <w:multiLevelType w:val="hybridMultilevel"/>
    <w:tmpl w:val="B71C50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3"/>
  </w:num>
  <w:num w:numId="3">
    <w:abstractNumId w:val="48"/>
  </w:num>
  <w:num w:numId="4">
    <w:abstractNumId w:val="13"/>
  </w:num>
  <w:num w:numId="5">
    <w:abstractNumId w:val="15"/>
  </w:num>
  <w:num w:numId="6">
    <w:abstractNumId w:val="20"/>
  </w:num>
  <w:num w:numId="7">
    <w:abstractNumId w:val="21"/>
  </w:num>
  <w:num w:numId="8">
    <w:abstractNumId w:val="47"/>
  </w:num>
  <w:num w:numId="9">
    <w:abstractNumId w:val="6"/>
  </w:num>
  <w:num w:numId="10">
    <w:abstractNumId w:val="41"/>
  </w:num>
  <w:num w:numId="11">
    <w:abstractNumId w:val="33"/>
  </w:num>
  <w:num w:numId="12">
    <w:abstractNumId w:val="9"/>
  </w:num>
  <w:num w:numId="13">
    <w:abstractNumId w:val="39"/>
  </w:num>
  <w:num w:numId="14">
    <w:abstractNumId w:val="17"/>
  </w:num>
  <w:num w:numId="15">
    <w:abstractNumId w:val="22"/>
  </w:num>
  <w:num w:numId="16">
    <w:abstractNumId w:val="40"/>
  </w:num>
  <w:num w:numId="17">
    <w:abstractNumId w:val="24"/>
  </w:num>
  <w:num w:numId="18">
    <w:abstractNumId w:val="46"/>
  </w:num>
  <w:num w:numId="19">
    <w:abstractNumId w:val="26"/>
  </w:num>
  <w:num w:numId="20">
    <w:abstractNumId w:val="5"/>
  </w:num>
  <w:num w:numId="21">
    <w:abstractNumId w:val="32"/>
  </w:num>
  <w:num w:numId="22">
    <w:abstractNumId w:val="34"/>
  </w:num>
  <w:num w:numId="23">
    <w:abstractNumId w:val="7"/>
  </w:num>
  <w:num w:numId="24">
    <w:abstractNumId w:val="30"/>
  </w:num>
  <w:num w:numId="25">
    <w:abstractNumId w:val="36"/>
  </w:num>
  <w:num w:numId="26">
    <w:abstractNumId w:val="18"/>
  </w:num>
  <w:num w:numId="27">
    <w:abstractNumId w:val="8"/>
  </w:num>
  <w:num w:numId="28">
    <w:abstractNumId w:val="12"/>
  </w:num>
  <w:num w:numId="29">
    <w:abstractNumId w:val="44"/>
  </w:num>
  <w:num w:numId="30">
    <w:abstractNumId w:val="14"/>
  </w:num>
  <w:num w:numId="31">
    <w:abstractNumId w:val="2"/>
  </w:num>
  <w:num w:numId="32">
    <w:abstractNumId w:val="29"/>
  </w:num>
  <w:num w:numId="33">
    <w:abstractNumId w:val="43"/>
  </w:num>
  <w:num w:numId="34">
    <w:abstractNumId w:val="16"/>
  </w:num>
  <w:num w:numId="35">
    <w:abstractNumId w:val="49"/>
  </w:num>
  <w:num w:numId="36">
    <w:abstractNumId w:val="25"/>
  </w:num>
  <w:num w:numId="37">
    <w:abstractNumId w:val="23"/>
  </w:num>
  <w:num w:numId="38">
    <w:abstractNumId w:val="1"/>
  </w:num>
  <w:num w:numId="39">
    <w:abstractNumId w:val="28"/>
  </w:num>
  <w:num w:numId="40">
    <w:abstractNumId w:val="35"/>
  </w:num>
  <w:num w:numId="41">
    <w:abstractNumId w:val="11"/>
  </w:num>
  <w:num w:numId="42">
    <w:abstractNumId w:val="45"/>
  </w:num>
  <w:num w:numId="43">
    <w:abstractNumId w:val="4"/>
  </w:num>
  <w:num w:numId="44">
    <w:abstractNumId w:val="31"/>
  </w:num>
  <w:num w:numId="45">
    <w:abstractNumId w:val="19"/>
  </w:num>
  <w:num w:numId="46">
    <w:abstractNumId w:val="42"/>
  </w:num>
  <w:num w:numId="47">
    <w:abstractNumId w:val="0"/>
  </w:num>
  <w:num w:numId="48">
    <w:abstractNumId w:val="27"/>
  </w:num>
  <w:num w:numId="49">
    <w:abstractNumId w:val="37"/>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6F6"/>
    <w:rsid w:val="00000966"/>
    <w:rsid w:val="00005088"/>
    <w:rsid w:val="00010BFC"/>
    <w:rsid w:val="000124C5"/>
    <w:rsid w:val="00012B03"/>
    <w:rsid w:val="00013D20"/>
    <w:rsid w:val="00020FE6"/>
    <w:rsid w:val="00021993"/>
    <w:rsid w:val="000219B3"/>
    <w:rsid w:val="00023D62"/>
    <w:rsid w:val="000252EF"/>
    <w:rsid w:val="000276FD"/>
    <w:rsid w:val="00032B78"/>
    <w:rsid w:val="00034ABE"/>
    <w:rsid w:val="00035E0B"/>
    <w:rsid w:val="00036109"/>
    <w:rsid w:val="00036115"/>
    <w:rsid w:val="0004075D"/>
    <w:rsid w:val="00052C7A"/>
    <w:rsid w:val="0005352E"/>
    <w:rsid w:val="000626CB"/>
    <w:rsid w:val="00063A6D"/>
    <w:rsid w:val="0006478A"/>
    <w:rsid w:val="00075121"/>
    <w:rsid w:val="000756FE"/>
    <w:rsid w:val="00090F78"/>
    <w:rsid w:val="000920F6"/>
    <w:rsid w:val="00092A23"/>
    <w:rsid w:val="00094390"/>
    <w:rsid w:val="00095957"/>
    <w:rsid w:val="00095DC3"/>
    <w:rsid w:val="00096FA8"/>
    <w:rsid w:val="000974B3"/>
    <w:rsid w:val="0009772B"/>
    <w:rsid w:val="000A5969"/>
    <w:rsid w:val="000A7B7D"/>
    <w:rsid w:val="000B05A1"/>
    <w:rsid w:val="000B05D0"/>
    <w:rsid w:val="000B0D6E"/>
    <w:rsid w:val="000B105B"/>
    <w:rsid w:val="000B26C0"/>
    <w:rsid w:val="000B2975"/>
    <w:rsid w:val="000B43A7"/>
    <w:rsid w:val="000B4F79"/>
    <w:rsid w:val="000B6877"/>
    <w:rsid w:val="000C0221"/>
    <w:rsid w:val="000C12CE"/>
    <w:rsid w:val="000C1A41"/>
    <w:rsid w:val="000C22DF"/>
    <w:rsid w:val="000C3F94"/>
    <w:rsid w:val="000C42BE"/>
    <w:rsid w:val="000C4FC3"/>
    <w:rsid w:val="000C5DD1"/>
    <w:rsid w:val="000C5E26"/>
    <w:rsid w:val="000C62C6"/>
    <w:rsid w:val="000D06DA"/>
    <w:rsid w:val="000D6770"/>
    <w:rsid w:val="000D7FE9"/>
    <w:rsid w:val="000E2A22"/>
    <w:rsid w:val="000E2DEF"/>
    <w:rsid w:val="000E4366"/>
    <w:rsid w:val="000E4525"/>
    <w:rsid w:val="000F0D54"/>
    <w:rsid w:val="00100F1F"/>
    <w:rsid w:val="0010319D"/>
    <w:rsid w:val="00103E0B"/>
    <w:rsid w:val="001066F6"/>
    <w:rsid w:val="00110643"/>
    <w:rsid w:val="0011563A"/>
    <w:rsid w:val="001234EA"/>
    <w:rsid w:val="00125C87"/>
    <w:rsid w:val="00125C8D"/>
    <w:rsid w:val="0012605F"/>
    <w:rsid w:val="001268E8"/>
    <w:rsid w:val="00133259"/>
    <w:rsid w:val="001356B8"/>
    <w:rsid w:val="00135C78"/>
    <w:rsid w:val="0013657A"/>
    <w:rsid w:val="00137252"/>
    <w:rsid w:val="00137AA9"/>
    <w:rsid w:val="00141ED3"/>
    <w:rsid w:val="001423EA"/>
    <w:rsid w:val="001441F7"/>
    <w:rsid w:val="00144E9B"/>
    <w:rsid w:val="0014520E"/>
    <w:rsid w:val="00145F73"/>
    <w:rsid w:val="0015006E"/>
    <w:rsid w:val="00154C1C"/>
    <w:rsid w:val="00155DB9"/>
    <w:rsid w:val="00155F89"/>
    <w:rsid w:val="0015654F"/>
    <w:rsid w:val="0016268E"/>
    <w:rsid w:val="00162E19"/>
    <w:rsid w:val="00170E3D"/>
    <w:rsid w:val="001712CF"/>
    <w:rsid w:val="001736D6"/>
    <w:rsid w:val="00174108"/>
    <w:rsid w:val="00175909"/>
    <w:rsid w:val="0017779E"/>
    <w:rsid w:val="00180270"/>
    <w:rsid w:val="00181DD8"/>
    <w:rsid w:val="001839DF"/>
    <w:rsid w:val="00183A96"/>
    <w:rsid w:val="001861D6"/>
    <w:rsid w:val="001954CB"/>
    <w:rsid w:val="00195E67"/>
    <w:rsid w:val="001A5EFD"/>
    <w:rsid w:val="001B24AE"/>
    <w:rsid w:val="001B2824"/>
    <w:rsid w:val="001B6C8E"/>
    <w:rsid w:val="001B7549"/>
    <w:rsid w:val="001B7E2D"/>
    <w:rsid w:val="001C198B"/>
    <w:rsid w:val="001C64A6"/>
    <w:rsid w:val="001C7A89"/>
    <w:rsid w:val="001D72E9"/>
    <w:rsid w:val="001E073F"/>
    <w:rsid w:val="001E6319"/>
    <w:rsid w:val="001F0D2F"/>
    <w:rsid w:val="001F0E23"/>
    <w:rsid w:val="001F6ADF"/>
    <w:rsid w:val="00200858"/>
    <w:rsid w:val="00201DD8"/>
    <w:rsid w:val="00202F7A"/>
    <w:rsid w:val="0020371C"/>
    <w:rsid w:val="0022147D"/>
    <w:rsid w:val="00222759"/>
    <w:rsid w:val="0022475B"/>
    <w:rsid w:val="002250E2"/>
    <w:rsid w:val="002255F4"/>
    <w:rsid w:val="00226883"/>
    <w:rsid w:val="002308B0"/>
    <w:rsid w:val="00231F4D"/>
    <w:rsid w:val="00234E42"/>
    <w:rsid w:val="00235A09"/>
    <w:rsid w:val="00236DDE"/>
    <w:rsid w:val="00237212"/>
    <w:rsid w:val="0023769E"/>
    <w:rsid w:val="00241F96"/>
    <w:rsid w:val="0024363E"/>
    <w:rsid w:val="002455FD"/>
    <w:rsid w:val="002457DB"/>
    <w:rsid w:val="002545ED"/>
    <w:rsid w:val="00254E23"/>
    <w:rsid w:val="00255513"/>
    <w:rsid w:val="00255D9C"/>
    <w:rsid w:val="002562FC"/>
    <w:rsid w:val="0026031C"/>
    <w:rsid w:val="0026357F"/>
    <w:rsid w:val="0027213C"/>
    <w:rsid w:val="00272B7A"/>
    <w:rsid w:val="00273C44"/>
    <w:rsid w:val="00274C4C"/>
    <w:rsid w:val="00274F6E"/>
    <w:rsid w:val="00276408"/>
    <w:rsid w:val="0027691C"/>
    <w:rsid w:val="00276CA6"/>
    <w:rsid w:val="002825D3"/>
    <w:rsid w:val="00283E3A"/>
    <w:rsid w:val="0028586A"/>
    <w:rsid w:val="00286EE5"/>
    <w:rsid w:val="0028738A"/>
    <w:rsid w:val="00287696"/>
    <w:rsid w:val="002A2A42"/>
    <w:rsid w:val="002A51A0"/>
    <w:rsid w:val="002A6A9E"/>
    <w:rsid w:val="002A7D93"/>
    <w:rsid w:val="002B0F66"/>
    <w:rsid w:val="002C0011"/>
    <w:rsid w:val="002C12F8"/>
    <w:rsid w:val="002C1541"/>
    <w:rsid w:val="002C1F41"/>
    <w:rsid w:val="002C2FA5"/>
    <w:rsid w:val="002D1F13"/>
    <w:rsid w:val="002D2B23"/>
    <w:rsid w:val="002D2E26"/>
    <w:rsid w:val="002D5B7E"/>
    <w:rsid w:val="002E108F"/>
    <w:rsid w:val="002E2110"/>
    <w:rsid w:val="002E4AA8"/>
    <w:rsid w:val="002F7299"/>
    <w:rsid w:val="00300246"/>
    <w:rsid w:val="00305697"/>
    <w:rsid w:val="0031275B"/>
    <w:rsid w:val="00312CE1"/>
    <w:rsid w:val="00313F04"/>
    <w:rsid w:val="003149E3"/>
    <w:rsid w:val="0031550E"/>
    <w:rsid w:val="00315674"/>
    <w:rsid w:val="00316609"/>
    <w:rsid w:val="00317772"/>
    <w:rsid w:val="003217AD"/>
    <w:rsid w:val="0032208E"/>
    <w:rsid w:val="00326038"/>
    <w:rsid w:val="00327FF3"/>
    <w:rsid w:val="003312ED"/>
    <w:rsid w:val="00332D2C"/>
    <w:rsid w:val="00333B51"/>
    <w:rsid w:val="0033557C"/>
    <w:rsid w:val="003365F6"/>
    <w:rsid w:val="0034173E"/>
    <w:rsid w:val="00343001"/>
    <w:rsid w:val="0034420F"/>
    <w:rsid w:val="003459E7"/>
    <w:rsid w:val="00345DDB"/>
    <w:rsid w:val="0035301B"/>
    <w:rsid w:val="00363F5E"/>
    <w:rsid w:val="00366BBA"/>
    <w:rsid w:val="00371E1C"/>
    <w:rsid w:val="00380D96"/>
    <w:rsid w:val="00381A92"/>
    <w:rsid w:val="00382204"/>
    <w:rsid w:val="003823C8"/>
    <w:rsid w:val="00385F51"/>
    <w:rsid w:val="00391F29"/>
    <w:rsid w:val="00395D16"/>
    <w:rsid w:val="00397673"/>
    <w:rsid w:val="003B3D6F"/>
    <w:rsid w:val="003B4B5A"/>
    <w:rsid w:val="003B4E65"/>
    <w:rsid w:val="003B5AA0"/>
    <w:rsid w:val="003C3EF5"/>
    <w:rsid w:val="003C5C0D"/>
    <w:rsid w:val="003C5CAA"/>
    <w:rsid w:val="003C6812"/>
    <w:rsid w:val="003D044E"/>
    <w:rsid w:val="003D070F"/>
    <w:rsid w:val="003D323C"/>
    <w:rsid w:val="003D5985"/>
    <w:rsid w:val="003D6B95"/>
    <w:rsid w:val="003E0128"/>
    <w:rsid w:val="003E314F"/>
    <w:rsid w:val="003E391B"/>
    <w:rsid w:val="003E3C81"/>
    <w:rsid w:val="003F1FCB"/>
    <w:rsid w:val="003F23A2"/>
    <w:rsid w:val="003F2481"/>
    <w:rsid w:val="004043BA"/>
    <w:rsid w:val="00412E73"/>
    <w:rsid w:val="00413C02"/>
    <w:rsid w:val="00420877"/>
    <w:rsid w:val="00422F09"/>
    <w:rsid w:val="00423E3C"/>
    <w:rsid w:val="004264E1"/>
    <w:rsid w:val="00427347"/>
    <w:rsid w:val="00431DBF"/>
    <w:rsid w:val="0043285A"/>
    <w:rsid w:val="00435234"/>
    <w:rsid w:val="00441A38"/>
    <w:rsid w:val="00442E30"/>
    <w:rsid w:val="00443B07"/>
    <w:rsid w:val="004501AB"/>
    <w:rsid w:val="00450FE7"/>
    <w:rsid w:val="00451106"/>
    <w:rsid w:val="00451B23"/>
    <w:rsid w:val="0045242A"/>
    <w:rsid w:val="00456F5E"/>
    <w:rsid w:val="00457571"/>
    <w:rsid w:val="004609F9"/>
    <w:rsid w:val="00462446"/>
    <w:rsid w:val="004667B8"/>
    <w:rsid w:val="00466AAF"/>
    <w:rsid w:val="00466ACC"/>
    <w:rsid w:val="00467F80"/>
    <w:rsid w:val="00471185"/>
    <w:rsid w:val="00472E26"/>
    <w:rsid w:val="00474269"/>
    <w:rsid w:val="004807A8"/>
    <w:rsid w:val="00480FB0"/>
    <w:rsid w:val="00481903"/>
    <w:rsid w:val="004819C8"/>
    <w:rsid w:val="0048202C"/>
    <w:rsid w:val="00484A37"/>
    <w:rsid w:val="00492B60"/>
    <w:rsid w:val="00492F57"/>
    <w:rsid w:val="0049596E"/>
    <w:rsid w:val="004A310E"/>
    <w:rsid w:val="004A526A"/>
    <w:rsid w:val="004A56A7"/>
    <w:rsid w:val="004A6636"/>
    <w:rsid w:val="004A66A0"/>
    <w:rsid w:val="004A7AB9"/>
    <w:rsid w:val="004B2A12"/>
    <w:rsid w:val="004B4E0F"/>
    <w:rsid w:val="004B7633"/>
    <w:rsid w:val="004C1FD9"/>
    <w:rsid w:val="004D33B6"/>
    <w:rsid w:val="004E109C"/>
    <w:rsid w:val="004E13A7"/>
    <w:rsid w:val="004E524C"/>
    <w:rsid w:val="004E5984"/>
    <w:rsid w:val="004F29FA"/>
    <w:rsid w:val="004F4124"/>
    <w:rsid w:val="004F48CA"/>
    <w:rsid w:val="004F66F3"/>
    <w:rsid w:val="004F69D9"/>
    <w:rsid w:val="00502858"/>
    <w:rsid w:val="00502954"/>
    <w:rsid w:val="00502CFB"/>
    <w:rsid w:val="005034B1"/>
    <w:rsid w:val="00503D24"/>
    <w:rsid w:val="00506708"/>
    <w:rsid w:val="00506FC7"/>
    <w:rsid w:val="00510614"/>
    <w:rsid w:val="00515310"/>
    <w:rsid w:val="0052256A"/>
    <w:rsid w:val="005260AF"/>
    <w:rsid w:val="005267A5"/>
    <w:rsid w:val="00530CF6"/>
    <w:rsid w:val="0053314F"/>
    <w:rsid w:val="00537605"/>
    <w:rsid w:val="00541D8E"/>
    <w:rsid w:val="0054799D"/>
    <w:rsid w:val="00550F76"/>
    <w:rsid w:val="00555105"/>
    <w:rsid w:val="00557363"/>
    <w:rsid w:val="00560267"/>
    <w:rsid w:val="0056084A"/>
    <w:rsid w:val="00560CF1"/>
    <w:rsid w:val="00564D14"/>
    <w:rsid w:val="00567A49"/>
    <w:rsid w:val="00571490"/>
    <w:rsid w:val="00573AE9"/>
    <w:rsid w:val="00576CC5"/>
    <w:rsid w:val="0058097F"/>
    <w:rsid w:val="00580E25"/>
    <w:rsid w:val="0058383D"/>
    <w:rsid w:val="005866BD"/>
    <w:rsid w:val="00592A5B"/>
    <w:rsid w:val="00593D03"/>
    <w:rsid w:val="00595B7C"/>
    <w:rsid w:val="005A1CD1"/>
    <w:rsid w:val="005A1F3A"/>
    <w:rsid w:val="005A3BD1"/>
    <w:rsid w:val="005A5B7B"/>
    <w:rsid w:val="005A616C"/>
    <w:rsid w:val="005B0047"/>
    <w:rsid w:val="005B0E49"/>
    <w:rsid w:val="005B53D7"/>
    <w:rsid w:val="005B5B39"/>
    <w:rsid w:val="005B644D"/>
    <w:rsid w:val="005B66A2"/>
    <w:rsid w:val="005B6ECD"/>
    <w:rsid w:val="005C2271"/>
    <w:rsid w:val="005C271A"/>
    <w:rsid w:val="005C3975"/>
    <w:rsid w:val="005C76FF"/>
    <w:rsid w:val="005D0B69"/>
    <w:rsid w:val="005D1524"/>
    <w:rsid w:val="005D226A"/>
    <w:rsid w:val="005D3D8D"/>
    <w:rsid w:val="005D3F91"/>
    <w:rsid w:val="005E423F"/>
    <w:rsid w:val="005E490C"/>
    <w:rsid w:val="005E4F54"/>
    <w:rsid w:val="005E7608"/>
    <w:rsid w:val="005F1D9F"/>
    <w:rsid w:val="005F25F8"/>
    <w:rsid w:val="005F31B6"/>
    <w:rsid w:val="005F4C09"/>
    <w:rsid w:val="005F6546"/>
    <w:rsid w:val="005F7CA6"/>
    <w:rsid w:val="00603F2C"/>
    <w:rsid w:val="00605371"/>
    <w:rsid w:val="00605AA3"/>
    <w:rsid w:val="00606144"/>
    <w:rsid w:val="0060701D"/>
    <w:rsid w:val="006070C1"/>
    <w:rsid w:val="00610F5E"/>
    <w:rsid w:val="0061177A"/>
    <w:rsid w:val="00613B69"/>
    <w:rsid w:val="0061770C"/>
    <w:rsid w:val="00623568"/>
    <w:rsid w:val="006242A8"/>
    <w:rsid w:val="006278EE"/>
    <w:rsid w:val="0063098B"/>
    <w:rsid w:val="006315D0"/>
    <w:rsid w:val="00635A0D"/>
    <w:rsid w:val="00637F28"/>
    <w:rsid w:val="00640A18"/>
    <w:rsid w:val="00644281"/>
    <w:rsid w:val="00647DCD"/>
    <w:rsid w:val="00650735"/>
    <w:rsid w:val="00655CE1"/>
    <w:rsid w:val="00661675"/>
    <w:rsid w:val="006632BC"/>
    <w:rsid w:val="006668F7"/>
    <w:rsid w:val="00666F89"/>
    <w:rsid w:val="0066764C"/>
    <w:rsid w:val="0067494E"/>
    <w:rsid w:val="006749D0"/>
    <w:rsid w:val="00682A86"/>
    <w:rsid w:val="0068388C"/>
    <w:rsid w:val="006859BD"/>
    <w:rsid w:val="00686CF2"/>
    <w:rsid w:val="0069368F"/>
    <w:rsid w:val="00694419"/>
    <w:rsid w:val="0069465D"/>
    <w:rsid w:val="00696B14"/>
    <w:rsid w:val="0069778E"/>
    <w:rsid w:val="006A3EDB"/>
    <w:rsid w:val="006A7AAE"/>
    <w:rsid w:val="006B331D"/>
    <w:rsid w:val="006B598D"/>
    <w:rsid w:val="006B5B2E"/>
    <w:rsid w:val="006B7CA7"/>
    <w:rsid w:val="006B7CDA"/>
    <w:rsid w:val="006C1F66"/>
    <w:rsid w:val="006C3625"/>
    <w:rsid w:val="006C3782"/>
    <w:rsid w:val="006C4141"/>
    <w:rsid w:val="006C5565"/>
    <w:rsid w:val="006C56EC"/>
    <w:rsid w:val="006C62AC"/>
    <w:rsid w:val="006C6825"/>
    <w:rsid w:val="006D0BDC"/>
    <w:rsid w:val="006D11C0"/>
    <w:rsid w:val="006D1724"/>
    <w:rsid w:val="006D18CE"/>
    <w:rsid w:val="006D38E7"/>
    <w:rsid w:val="006D50C6"/>
    <w:rsid w:val="006D6F56"/>
    <w:rsid w:val="006F2A90"/>
    <w:rsid w:val="006F41E4"/>
    <w:rsid w:val="007017F2"/>
    <w:rsid w:val="007050A1"/>
    <w:rsid w:val="0070673D"/>
    <w:rsid w:val="00706C41"/>
    <w:rsid w:val="00710BD1"/>
    <w:rsid w:val="00716B7B"/>
    <w:rsid w:val="00716BC4"/>
    <w:rsid w:val="00716F54"/>
    <w:rsid w:val="00722020"/>
    <w:rsid w:val="007238F6"/>
    <w:rsid w:val="00731A2E"/>
    <w:rsid w:val="00734A08"/>
    <w:rsid w:val="00735475"/>
    <w:rsid w:val="00741A19"/>
    <w:rsid w:val="007427F4"/>
    <w:rsid w:val="00743595"/>
    <w:rsid w:val="0074393A"/>
    <w:rsid w:val="00743A52"/>
    <w:rsid w:val="00743C2B"/>
    <w:rsid w:val="00745273"/>
    <w:rsid w:val="0075034F"/>
    <w:rsid w:val="00752B36"/>
    <w:rsid w:val="00754F18"/>
    <w:rsid w:val="00755DB2"/>
    <w:rsid w:val="0075630C"/>
    <w:rsid w:val="00756473"/>
    <w:rsid w:val="00756603"/>
    <w:rsid w:val="00763FC2"/>
    <w:rsid w:val="0076619D"/>
    <w:rsid w:val="007700A1"/>
    <w:rsid w:val="00773A80"/>
    <w:rsid w:val="00776B4F"/>
    <w:rsid w:val="0077741C"/>
    <w:rsid w:val="00777AF6"/>
    <w:rsid w:val="0078007B"/>
    <w:rsid w:val="00780EAD"/>
    <w:rsid w:val="00781943"/>
    <w:rsid w:val="007825B7"/>
    <w:rsid w:val="0078365D"/>
    <w:rsid w:val="007863BE"/>
    <w:rsid w:val="00794ACC"/>
    <w:rsid w:val="00797FD5"/>
    <w:rsid w:val="007A2CFB"/>
    <w:rsid w:val="007A3C4E"/>
    <w:rsid w:val="007A73E1"/>
    <w:rsid w:val="007B071B"/>
    <w:rsid w:val="007B2445"/>
    <w:rsid w:val="007B268A"/>
    <w:rsid w:val="007B425F"/>
    <w:rsid w:val="007C0DC0"/>
    <w:rsid w:val="007C1306"/>
    <w:rsid w:val="007C1648"/>
    <w:rsid w:val="007C1AE0"/>
    <w:rsid w:val="007C3C0A"/>
    <w:rsid w:val="007C60FE"/>
    <w:rsid w:val="007C763A"/>
    <w:rsid w:val="007D1851"/>
    <w:rsid w:val="007D37B6"/>
    <w:rsid w:val="007D6167"/>
    <w:rsid w:val="007D7F7F"/>
    <w:rsid w:val="007E022D"/>
    <w:rsid w:val="007E33EC"/>
    <w:rsid w:val="007E5AD6"/>
    <w:rsid w:val="007E7C4E"/>
    <w:rsid w:val="007F2140"/>
    <w:rsid w:val="007F2503"/>
    <w:rsid w:val="007F5CF0"/>
    <w:rsid w:val="008044B9"/>
    <w:rsid w:val="0081179D"/>
    <w:rsid w:val="00811EF6"/>
    <w:rsid w:val="00813898"/>
    <w:rsid w:val="00822FEB"/>
    <w:rsid w:val="00824954"/>
    <w:rsid w:val="0082577A"/>
    <w:rsid w:val="008306E6"/>
    <w:rsid w:val="00832C93"/>
    <w:rsid w:val="00832DC6"/>
    <w:rsid w:val="00833D19"/>
    <w:rsid w:val="008346EF"/>
    <w:rsid w:val="00840530"/>
    <w:rsid w:val="00840D0D"/>
    <w:rsid w:val="00841466"/>
    <w:rsid w:val="008418DA"/>
    <w:rsid w:val="00850034"/>
    <w:rsid w:val="00853204"/>
    <w:rsid w:val="008561D6"/>
    <w:rsid w:val="0086295F"/>
    <w:rsid w:val="00862DF6"/>
    <w:rsid w:val="00863334"/>
    <w:rsid w:val="0086478E"/>
    <w:rsid w:val="008662BD"/>
    <w:rsid w:val="008710E9"/>
    <w:rsid w:val="00873DA7"/>
    <w:rsid w:val="00874A3D"/>
    <w:rsid w:val="008757E0"/>
    <w:rsid w:val="0087619C"/>
    <w:rsid w:val="00883879"/>
    <w:rsid w:val="0089100E"/>
    <w:rsid w:val="0089382B"/>
    <w:rsid w:val="008940D3"/>
    <w:rsid w:val="00894D30"/>
    <w:rsid w:val="008958FB"/>
    <w:rsid w:val="00896EC8"/>
    <w:rsid w:val="00896ECC"/>
    <w:rsid w:val="00897BF9"/>
    <w:rsid w:val="008A1A87"/>
    <w:rsid w:val="008A3025"/>
    <w:rsid w:val="008A3461"/>
    <w:rsid w:val="008A7325"/>
    <w:rsid w:val="008B0703"/>
    <w:rsid w:val="008B2BE9"/>
    <w:rsid w:val="008B3B66"/>
    <w:rsid w:val="008B591B"/>
    <w:rsid w:val="008B7A0D"/>
    <w:rsid w:val="008C06B5"/>
    <w:rsid w:val="008C0E39"/>
    <w:rsid w:val="008C2B94"/>
    <w:rsid w:val="008C3315"/>
    <w:rsid w:val="008C42F8"/>
    <w:rsid w:val="008D01E5"/>
    <w:rsid w:val="008D46F5"/>
    <w:rsid w:val="008D4D31"/>
    <w:rsid w:val="008D4F0A"/>
    <w:rsid w:val="008D50C1"/>
    <w:rsid w:val="008D52F5"/>
    <w:rsid w:val="008E4FD1"/>
    <w:rsid w:val="008E5D0E"/>
    <w:rsid w:val="008E7D97"/>
    <w:rsid w:val="008F3841"/>
    <w:rsid w:val="008F46A4"/>
    <w:rsid w:val="008F7116"/>
    <w:rsid w:val="00901A5F"/>
    <w:rsid w:val="0090370C"/>
    <w:rsid w:val="00907312"/>
    <w:rsid w:val="00912D31"/>
    <w:rsid w:val="00913833"/>
    <w:rsid w:val="009148A3"/>
    <w:rsid w:val="00915B7F"/>
    <w:rsid w:val="00916A4F"/>
    <w:rsid w:val="0092546A"/>
    <w:rsid w:val="00926F3C"/>
    <w:rsid w:val="009277E4"/>
    <w:rsid w:val="00934D7E"/>
    <w:rsid w:val="00940009"/>
    <w:rsid w:val="0094025F"/>
    <w:rsid w:val="00940E40"/>
    <w:rsid w:val="00942AAD"/>
    <w:rsid w:val="00942E2F"/>
    <w:rsid w:val="00943ECC"/>
    <w:rsid w:val="00946591"/>
    <w:rsid w:val="00950B7E"/>
    <w:rsid w:val="00955375"/>
    <w:rsid w:val="00961878"/>
    <w:rsid w:val="0096556F"/>
    <w:rsid w:val="00967509"/>
    <w:rsid w:val="009676A6"/>
    <w:rsid w:val="0097030C"/>
    <w:rsid w:val="00971251"/>
    <w:rsid w:val="00971DE5"/>
    <w:rsid w:val="00972CEC"/>
    <w:rsid w:val="00973807"/>
    <w:rsid w:val="009741D7"/>
    <w:rsid w:val="00976C0F"/>
    <w:rsid w:val="00977823"/>
    <w:rsid w:val="00977D69"/>
    <w:rsid w:val="00981416"/>
    <w:rsid w:val="00982FF2"/>
    <w:rsid w:val="0098403F"/>
    <w:rsid w:val="00984F06"/>
    <w:rsid w:val="00991EE2"/>
    <w:rsid w:val="00993510"/>
    <w:rsid w:val="00993AF5"/>
    <w:rsid w:val="00993FAB"/>
    <w:rsid w:val="0099446E"/>
    <w:rsid w:val="0099488F"/>
    <w:rsid w:val="00995E4C"/>
    <w:rsid w:val="009970F6"/>
    <w:rsid w:val="009A32CB"/>
    <w:rsid w:val="009A3560"/>
    <w:rsid w:val="009B00B0"/>
    <w:rsid w:val="009B290B"/>
    <w:rsid w:val="009B4579"/>
    <w:rsid w:val="009B7F71"/>
    <w:rsid w:val="009C0747"/>
    <w:rsid w:val="009C07DF"/>
    <w:rsid w:val="009C22D7"/>
    <w:rsid w:val="009C71D8"/>
    <w:rsid w:val="009D2A96"/>
    <w:rsid w:val="009D3D33"/>
    <w:rsid w:val="009D75EA"/>
    <w:rsid w:val="009D7A6F"/>
    <w:rsid w:val="009E35B2"/>
    <w:rsid w:val="009E4C3E"/>
    <w:rsid w:val="009E5E48"/>
    <w:rsid w:val="009E6366"/>
    <w:rsid w:val="009E7099"/>
    <w:rsid w:val="009E7A9B"/>
    <w:rsid w:val="009F0397"/>
    <w:rsid w:val="009F3F52"/>
    <w:rsid w:val="009F557C"/>
    <w:rsid w:val="009F7805"/>
    <w:rsid w:val="00A03FC0"/>
    <w:rsid w:val="00A043F9"/>
    <w:rsid w:val="00A04889"/>
    <w:rsid w:val="00A05D31"/>
    <w:rsid w:val="00A073AD"/>
    <w:rsid w:val="00A1527E"/>
    <w:rsid w:val="00A1673E"/>
    <w:rsid w:val="00A24E25"/>
    <w:rsid w:val="00A27A50"/>
    <w:rsid w:val="00A319E3"/>
    <w:rsid w:val="00A31A29"/>
    <w:rsid w:val="00A373AB"/>
    <w:rsid w:val="00A37BB6"/>
    <w:rsid w:val="00A37C0D"/>
    <w:rsid w:val="00A41B8F"/>
    <w:rsid w:val="00A4355D"/>
    <w:rsid w:val="00A43B62"/>
    <w:rsid w:val="00A44A7D"/>
    <w:rsid w:val="00A54E81"/>
    <w:rsid w:val="00A561B3"/>
    <w:rsid w:val="00A56608"/>
    <w:rsid w:val="00A56735"/>
    <w:rsid w:val="00A57E2C"/>
    <w:rsid w:val="00A6285A"/>
    <w:rsid w:val="00A7003D"/>
    <w:rsid w:val="00A76B91"/>
    <w:rsid w:val="00A80758"/>
    <w:rsid w:val="00A80A2F"/>
    <w:rsid w:val="00A82D33"/>
    <w:rsid w:val="00A84DB6"/>
    <w:rsid w:val="00A86229"/>
    <w:rsid w:val="00A86BB6"/>
    <w:rsid w:val="00A9233B"/>
    <w:rsid w:val="00A970E2"/>
    <w:rsid w:val="00AA5615"/>
    <w:rsid w:val="00AB689E"/>
    <w:rsid w:val="00AB74D5"/>
    <w:rsid w:val="00AC1E5D"/>
    <w:rsid w:val="00AC6118"/>
    <w:rsid w:val="00AC683D"/>
    <w:rsid w:val="00AC7F5D"/>
    <w:rsid w:val="00AD2A6A"/>
    <w:rsid w:val="00AD4395"/>
    <w:rsid w:val="00AF0C2C"/>
    <w:rsid w:val="00AF2BAA"/>
    <w:rsid w:val="00AF4401"/>
    <w:rsid w:val="00AF5B64"/>
    <w:rsid w:val="00AF71DB"/>
    <w:rsid w:val="00B046AD"/>
    <w:rsid w:val="00B05D76"/>
    <w:rsid w:val="00B074FF"/>
    <w:rsid w:val="00B11104"/>
    <w:rsid w:val="00B13C3F"/>
    <w:rsid w:val="00B14D4A"/>
    <w:rsid w:val="00B1672F"/>
    <w:rsid w:val="00B203B8"/>
    <w:rsid w:val="00B22157"/>
    <w:rsid w:val="00B23856"/>
    <w:rsid w:val="00B25D31"/>
    <w:rsid w:val="00B279FB"/>
    <w:rsid w:val="00B31207"/>
    <w:rsid w:val="00B3208D"/>
    <w:rsid w:val="00B370D2"/>
    <w:rsid w:val="00B45913"/>
    <w:rsid w:val="00B5157F"/>
    <w:rsid w:val="00B5165F"/>
    <w:rsid w:val="00B5243B"/>
    <w:rsid w:val="00B53BB2"/>
    <w:rsid w:val="00B540D2"/>
    <w:rsid w:val="00B571C7"/>
    <w:rsid w:val="00B57460"/>
    <w:rsid w:val="00B57FFA"/>
    <w:rsid w:val="00B61E18"/>
    <w:rsid w:val="00B651E1"/>
    <w:rsid w:val="00B664EC"/>
    <w:rsid w:val="00B70C78"/>
    <w:rsid w:val="00B71AE9"/>
    <w:rsid w:val="00B71E19"/>
    <w:rsid w:val="00B7545B"/>
    <w:rsid w:val="00B75A5F"/>
    <w:rsid w:val="00B75E6A"/>
    <w:rsid w:val="00B81A85"/>
    <w:rsid w:val="00B81D09"/>
    <w:rsid w:val="00B8550C"/>
    <w:rsid w:val="00BA3337"/>
    <w:rsid w:val="00BA46D3"/>
    <w:rsid w:val="00BB149C"/>
    <w:rsid w:val="00BB1B9C"/>
    <w:rsid w:val="00BB2998"/>
    <w:rsid w:val="00BB5B7A"/>
    <w:rsid w:val="00BB61E9"/>
    <w:rsid w:val="00BB774D"/>
    <w:rsid w:val="00BC367A"/>
    <w:rsid w:val="00BC58C4"/>
    <w:rsid w:val="00BC69AD"/>
    <w:rsid w:val="00BC736B"/>
    <w:rsid w:val="00BC73BE"/>
    <w:rsid w:val="00BD0A26"/>
    <w:rsid w:val="00BD4097"/>
    <w:rsid w:val="00BD6479"/>
    <w:rsid w:val="00BF3FB7"/>
    <w:rsid w:val="00BF694D"/>
    <w:rsid w:val="00C022F6"/>
    <w:rsid w:val="00C02E92"/>
    <w:rsid w:val="00C05BC6"/>
    <w:rsid w:val="00C10912"/>
    <w:rsid w:val="00C1181E"/>
    <w:rsid w:val="00C14D0E"/>
    <w:rsid w:val="00C16A3B"/>
    <w:rsid w:val="00C16DDB"/>
    <w:rsid w:val="00C17442"/>
    <w:rsid w:val="00C235FF"/>
    <w:rsid w:val="00C24B16"/>
    <w:rsid w:val="00C24D0D"/>
    <w:rsid w:val="00C2762F"/>
    <w:rsid w:val="00C27845"/>
    <w:rsid w:val="00C300FB"/>
    <w:rsid w:val="00C30CCB"/>
    <w:rsid w:val="00C33048"/>
    <w:rsid w:val="00C36258"/>
    <w:rsid w:val="00C42434"/>
    <w:rsid w:val="00C479DE"/>
    <w:rsid w:val="00C56294"/>
    <w:rsid w:val="00C56982"/>
    <w:rsid w:val="00C60C44"/>
    <w:rsid w:val="00C617FA"/>
    <w:rsid w:val="00C63061"/>
    <w:rsid w:val="00C672EE"/>
    <w:rsid w:val="00C75784"/>
    <w:rsid w:val="00C75B76"/>
    <w:rsid w:val="00C763A1"/>
    <w:rsid w:val="00C80323"/>
    <w:rsid w:val="00C83A98"/>
    <w:rsid w:val="00C86341"/>
    <w:rsid w:val="00C87E3C"/>
    <w:rsid w:val="00C90E6C"/>
    <w:rsid w:val="00C91BD0"/>
    <w:rsid w:val="00C91F48"/>
    <w:rsid w:val="00C94393"/>
    <w:rsid w:val="00C96BDE"/>
    <w:rsid w:val="00CA23F1"/>
    <w:rsid w:val="00CA3017"/>
    <w:rsid w:val="00CA56B0"/>
    <w:rsid w:val="00CA61A6"/>
    <w:rsid w:val="00CB090E"/>
    <w:rsid w:val="00CB129A"/>
    <w:rsid w:val="00CB1AC7"/>
    <w:rsid w:val="00CC292A"/>
    <w:rsid w:val="00CC3734"/>
    <w:rsid w:val="00CC5215"/>
    <w:rsid w:val="00CC6A67"/>
    <w:rsid w:val="00CD0CC5"/>
    <w:rsid w:val="00CD2090"/>
    <w:rsid w:val="00CD493C"/>
    <w:rsid w:val="00CD5A88"/>
    <w:rsid w:val="00CD7454"/>
    <w:rsid w:val="00CE549B"/>
    <w:rsid w:val="00CE67D5"/>
    <w:rsid w:val="00CE78C2"/>
    <w:rsid w:val="00CF13BA"/>
    <w:rsid w:val="00CF1645"/>
    <w:rsid w:val="00CF30ED"/>
    <w:rsid w:val="00D01F28"/>
    <w:rsid w:val="00D074D1"/>
    <w:rsid w:val="00D13692"/>
    <w:rsid w:val="00D14AB2"/>
    <w:rsid w:val="00D15D61"/>
    <w:rsid w:val="00D21F76"/>
    <w:rsid w:val="00D268A7"/>
    <w:rsid w:val="00D272C1"/>
    <w:rsid w:val="00D27F75"/>
    <w:rsid w:val="00D31BE3"/>
    <w:rsid w:val="00D34AC1"/>
    <w:rsid w:val="00D40DE1"/>
    <w:rsid w:val="00D447E0"/>
    <w:rsid w:val="00D4577E"/>
    <w:rsid w:val="00D506C3"/>
    <w:rsid w:val="00D52941"/>
    <w:rsid w:val="00D52B28"/>
    <w:rsid w:val="00D53061"/>
    <w:rsid w:val="00D535DD"/>
    <w:rsid w:val="00D53833"/>
    <w:rsid w:val="00D61704"/>
    <w:rsid w:val="00D61B68"/>
    <w:rsid w:val="00D70DDE"/>
    <w:rsid w:val="00D72C8E"/>
    <w:rsid w:val="00D742A7"/>
    <w:rsid w:val="00D74A4F"/>
    <w:rsid w:val="00D7782E"/>
    <w:rsid w:val="00D82FB5"/>
    <w:rsid w:val="00D85C7C"/>
    <w:rsid w:val="00D8661E"/>
    <w:rsid w:val="00D92496"/>
    <w:rsid w:val="00D93DCF"/>
    <w:rsid w:val="00DA1DB8"/>
    <w:rsid w:val="00DA251B"/>
    <w:rsid w:val="00DA56BC"/>
    <w:rsid w:val="00DA660B"/>
    <w:rsid w:val="00DB11B5"/>
    <w:rsid w:val="00DB26E3"/>
    <w:rsid w:val="00DB28B1"/>
    <w:rsid w:val="00DB3C7F"/>
    <w:rsid w:val="00DB4F43"/>
    <w:rsid w:val="00DB522C"/>
    <w:rsid w:val="00DB6D0B"/>
    <w:rsid w:val="00DB7190"/>
    <w:rsid w:val="00DB763A"/>
    <w:rsid w:val="00DC7D33"/>
    <w:rsid w:val="00DD0410"/>
    <w:rsid w:val="00DD4E14"/>
    <w:rsid w:val="00DD56B7"/>
    <w:rsid w:val="00DD7A6B"/>
    <w:rsid w:val="00DE3366"/>
    <w:rsid w:val="00DE3C5C"/>
    <w:rsid w:val="00DE47CF"/>
    <w:rsid w:val="00DF2957"/>
    <w:rsid w:val="00DF6081"/>
    <w:rsid w:val="00E019AA"/>
    <w:rsid w:val="00E031C2"/>
    <w:rsid w:val="00E137F5"/>
    <w:rsid w:val="00E14119"/>
    <w:rsid w:val="00E1459C"/>
    <w:rsid w:val="00E1686A"/>
    <w:rsid w:val="00E21338"/>
    <w:rsid w:val="00E22630"/>
    <w:rsid w:val="00E22738"/>
    <w:rsid w:val="00E2323A"/>
    <w:rsid w:val="00E24080"/>
    <w:rsid w:val="00E248EF"/>
    <w:rsid w:val="00E249BB"/>
    <w:rsid w:val="00E24FC7"/>
    <w:rsid w:val="00E255D3"/>
    <w:rsid w:val="00E26549"/>
    <w:rsid w:val="00E26DEE"/>
    <w:rsid w:val="00E30A6A"/>
    <w:rsid w:val="00E344E1"/>
    <w:rsid w:val="00E36848"/>
    <w:rsid w:val="00E36D7C"/>
    <w:rsid w:val="00E37195"/>
    <w:rsid w:val="00E417BA"/>
    <w:rsid w:val="00E42B14"/>
    <w:rsid w:val="00E45D6C"/>
    <w:rsid w:val="00E45E08"/>
    <w:rsid w:val="00E45FCB"/>
    <w:rsid w:val="00E516AD"/>
    <w:rsid w:val="00E56BA3"/>
    <w:rsid w:val="00E57546"/>
    <w:rsid w:val="00E613CD"/>
    <w:rsid w:val="00E646F7"/>
    <w:rsid w:val="00E65E5A"/>
    <w:rsid w:val="00E66EB6"/>
    <w:rsid w:val="00E70923"/>
    <w:rsid w:val="00E71C8A"/>
    <w:rsid w:val="00E7685B"/>
    <w:rsid w:val="00E81962"/>
    <w:rsid w:val="00E83967"/>
    <w:rsid w:val="00E87AC8"/>
    <w:rsid w:val="00E917FB"/>
    <w:rsid w:val="00E929C5"/>
    <w:rsid w:val="00E95511"/>
    <w:rsid w:val="00E95E5D"/>
    <w:rsid w:val="00E96E79"/>
    <w:rsid w:val="00EA00DA"/>
    <w:rsid w:val="00EA09BD"/>
    <w:rsid w:val="00EA0AA0"/>
    <w:rsid w:val="00EA19B0"/>
    <w:rsid w:val="00EA32FB"/>
    <w:rsid w:val="00EA49A2"/>
    <w:rsid w:val="00EA5F1D"/>
    <w:rsid w:val="00EA7B5A"/>
    <w:rsid w:val="00EB03A4"/>
    <w:rsid w:val="00EB3EE4"/>
    <w:rsid w:val="00EB613B"/>
    <w:rsid w:val="00EB6CCF"/>
    <w:rsid w:val="00EC0A05"/>
    <w:rsid w:val="00EC4129"/>
    <w:rsid w:val="00EC50FB"/>
    <w:rsid w:val="00ED20D4"/>
    <w:rsid w:val="00ED344E"/>
    <w:rsid w:val="00ED76BB"/>
    <w:rsid w:val="00EE3150"/>
    <w:rsid w:val="00EF10D2"/>
    <w:rsid w:val="00EF1EAC"/>
    <w:rsid w:val="00EF31F2"/>
    <w:rsid w:val="00F0061F"/>
    <w:rsid w:val="00F02AB7"/>
    <w:rsid w:val="00F02C1C"/>
    <w:rsid w:val="00F0362D"/>
    <w:rsid w:val="00F071A4"/>
    <w:rsid w:val="00F10296"/>
    <w:rsid w:val="00F11AE9"/>
    <w:rsid w:val="00F11BB5"/>
    <w:rsid w:val="00F11F5B"/>
    <w:rsid w:val="00F15E33"/>
    <w:rsid w:val="00F2110D"/>
    <w:rsid w:val="00F21753"/>
    <w:rsid w:val="00F244E1"/>
    <w:rsid w:val="00F25781"/>
    <w:rsid w:val="00F26B52"/>
    <w:rsid w:val="00F26DE5"/>
    <w:rsid w:val="00F302B5"/>
    <w:rsid w:val="00F30D54"/>
    <w:rsid w:val="00F32FAE"/>
    <w:rsid w:val="00F339BD"/>
    <w:rsid w:val="00F350E3"/>
    <w:rsid w:val="00F35495"/>
    <w:rsid w:val="00F36F74"/>
    <w:rsid w:val="00F40E1B"/>
    <w:rsid w:val="00F46AEB"/>
    <w:rsid w:val="00F51133"/>
    <w:rsid w:val="00F535FC"/>
    <w:rsid w:val="00F53DB9"/>
    <w:rsid w:val="00F548C9"/>
    <w:rsid w:val="00F5723E"/>
    <w:rsid w:val="00F648AB"/>
    <w:rsid w:val="00F64DD9"/>
    <w:rsid w:val="00F6584F"/>
    <w:rsid w:val="00F669AA"/>
    <w:rsid w:val="00F71E5B"/>
    <w:rsid w:val="00F757E1"/>
    <w:rsid w:val="00F8027E"/>
    <w:rsid w:val="00F82710"/>
    <w:rsid w:val="00F82A7A"/>
    <w:rsid w:val="00F85927"/>
    <w:rsid w:val="00F90B61"/>
    <w:rsid w:val="00F91328"/>
    <w:rsid w:val="00F95BD9"/>
    <w:rsid w:val="00F972A1"/>
    <w:rsid w:val="00FA342D"/>
    <w:rsid w:val="00FA5FA3"/>
    <w:rsid w:val="00FA64C3"/>
    <w:rsid w:val="00FA65EB"/>
    <w:rsid w:val="00FA73CD"/>
    <w:rsid w:val="00FA7E43"/>
    <w:rsid w:val="00FB07EB"/>
    <w:rsid w:val="00FB1694"/>
    <w:rsid w:val="00FB70D6"/>
    <w:rsid w:val="00FC16E5"/>
    <w:rsid w:val="00FC18CE"/>
    <w:rsid w:val="00FC2DA7"/>
    <w:rsid w:val="00FC3BA0"/>
    <w:rsid w:val="00FC45E0"/>
    <w:rsid w:val="00FD0179"/>
    <w:rsid w:val="00FD195A"/>
    <w:rsid w:val="00FD3C30"/>
    <w:rsid w:val="00FD40BF"/>
    <w:rsid w:val="00FD69AD"/>
    <w:rsid w:val="00FD767E"/>
    <w:rsid w:val="00FE0615"/>
    <w:rsid w:val="00FE1C7D"/>
    <w:rsid w:val="00FE5CE8"/>
    <w:rsid w:val="00FF4CFC"/>
    <w:rsid w:val="00FF54A1"/>
    <w:rsid w:val="00FF57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D19CFE-3C16-48BE-A193-25DF9F33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763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551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602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D06DA"/>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A073A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7C4E"/>
    <w:pPr>
      <w:ind w:left="720"/>
      <w:contextualSpacing/>
    </w:pPr>
  </w:style>
  <w:style w:type="paragraph" w:styleId="Textonotapie">
    <w:name w:val="footnote text"/>
    <w:basedOn w:val="Normal"/>
    <w:link w:val="TextonotapieCar"/>
    <w:uiPriority w:val="99"/>
    <w:unhideWhenUsed/>
    <w:rsid w:val="00472E26"/>
    <w:pPr>
      <w:spacing w:after="0" w:line="240" w:lineRule="auto"/>
    </w:pPr>
    <w:rPr>
      <w:sz w:val="20"/>
      <w:szCs w:val="20"/>
    </w:rPr>
  </w:style>
  <w:style w:type="character" w:customStyle="1" w:styleId="TextonotapieCar">
    <w:name w:val="Texto nota pie Car"/>
    <w:basedOn w:val="Fuentedeprrafopredeter"/>
    <w:link w:val="Textonotapie"/>
    <w:uiPriority w:val="99"/>
    <w:rsid w:val="00472E26"/>
    <w:rPr>
      <w:sz w:val="20"/>
      <w:szCs w:val="20"/>
    </w:rPr>
  </w:style>
  <w:style w:type="character" w:styleId="Refdenotaalpie">
    <w:name w:val="footnote reference"/>
    <w:basedOn w:val="Fuentedeprrafopredeter"/>
    <w:uiPriority w:val="99"/>
    <w:unhideWhenUsed/>
    <w:rsid w:val="00472E26"/>
    <w:rPr>
      <w:vertAlign w:val="superscript"/>
    </w:rPr>
  </w:style>
  <w:style w:type="paragraph" w:styleId="Encabezado">
    <w:name w:val="header"/>
    <w:basedOn w:val="Normal"/>
    <w:link w:val="EncabezadoCar"/>
    <w:uiPriority w:val="99"/>
    <w:unhideWhenUsed/>
    <w:rsid w:val="006177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770C"/>
  </w:style>
  <w:style w:type="paragraph" w:styleId="Piedepgina">
    <w:name w:val="footer"/>
    <w:basedOn w:val="Normal"/>
    <w:link w:val="PiedepginaCar"/>
    <w:uiPriority w:val="99"/>
    <w:unhideWhenUsed/>
    <w:rsid w:val="006177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770C"/>
  </w:style>
  <w:style w:type="table" w:styleId="Tablaconcuadrcula">
    <w:name w:val="Table Grid"/>
    <w:basedOn w:val="Tablanormal"/>
    <w:uiPriority w:val="39"/>
    <w:rsid w:val="00617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555105"/>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C763A1"/>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560267"/>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D06DA"/>
    <w:rPr>
      <w:rFonts w:asciiTheme="majorHAnsi" w:eastAsiaTheme="majorEastAsia" w:hAnsiTheme="majorHAnsi" w:cstheme="majorBidi"/>
      <w:i/>
      <w:iCs/>
      <w:color w:val="2E74B5" w:themeColor="accent1" w:themeShade="BF"/>
    </w:rPr>
  </w:style>
  <w:style w:type="character" w:styleId="Textodelmarcadordeposicin">
    <w:name w:val="Placeholder Text"/>
    <w:basedOn w:val="Fuentedeprrafopredeter"/>
    <w:uiPriority w:val="99"/>
    <w:semiHidden/>
    <w:rsid w:val="00F548C9"/>
    <w:rPr>
      <w:color w:val="808080"/>
    </w:rPr>
  </w:style>
  <w:style w:type="character" w:styleId="Hipervnculo">
    <w:name w:val="Hyperlink"/>
    <w:basedOn w:val="Fuentedeprrafopredeter"/>
    <w:uiPriority w:val="99"/>
    <w:unhideWhenUsed/>
    <w:rsid w:val="00EC0A05"/>
    <w:rPr>
      <w:color w:val="0563C1" w:themeColor="hyperlink"/>
      <w:u w:val="single"/>
    </w:rPr>
  </w:style>
  <w:style w:type="paragraph" w:customStyle="1" w:styleId="Default">
    <w:name w:val="Default"/>
    <w:rsid w:val="003B4B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
    <w:name w:val=".."/>
    <w:basedOn w:val="Default"/>
    <w:next w:val="Default"/>
    <w:uiPriority w:val="99"/>
    <w:rsid w:val="003B4B5A"/>
    <w:rPr>
      <w:color w:val="auto"/>
    </w:rPr>
  </w:style>
  <w:style w:type="character" w:styleId="Hipervnculovisitado">
    <w:name w:val="FollowedHyperlink"/>
    <w:basedOn w:val="Fuentedeprrafopredeter"/>
    <w:uiPriority w:val="99"/>
    <w:semiHidden/>
    <w:unhideWhenUsed/>
    <w:rsid w:val="00BA3337"/>
    <w:rPr>
      <w:color w:val="954F72" w:themeColor="followedHyperlink"/>
      <w:u w:val="single"/>
    </w:rPr>
  </w:style>
  <w:style w:type="character" w:customStyle="1" w:styleId="hps">
    <w:name w:val="hps"/>
    <w:basedOn w:val="Fuentedeprrafopredeter"/>
    <w:rsid w:val="00B1672F"/>
  </w:style>
  <w:style w:type="character" w:customStyle="1" w:styleId="atn">
    <w:name w:val="atn"/>
    <w:basedOn w:val="Fuentedeprrafopredeter"/>
    <w:rsid w:val="00B1672F"/>
  </w:style>
  <w:style w:type="character" w:customStyle="1" w:styleId="articlecitationyear">
    <w:name w:val="articlecitation_year"/>
    <w:basedOn w:val="Fuentedeprrafopredeter"/>
    <w:rsid w:val="0033557C"/>
  </w:style>
  <w:style w:type="character" w:customStyle="1" w:styleId="articlecitationvolume">
    <w:name w:val="articlecitation_volume"/>
    <w:basedOn w:val="Fuentedeprrafopredeter"/>
    <w:rsid w:val="0033557C"/>
  </w:style>
  <w:style w:type="character" w:customStyle="1" w:styleId="articlecitationissue">
    <w:name w:val="articlecitation_issue"/>
    <w:basedOn w:val="Fuentedeprrafopredeter"/>
    <w:rsid w:val="0033557C"/>
  </w:style>
  <w:style w:type="character" w:customStyle="1" w:styleId="articlecitationpages">
    <w:name w:val="articlecitation_pages"/>
    <w:basedOn w:val="Fuentedeprrafopredeter"/>
    <w:rsid w:val="0033557C"/>
  </w:style>
  <w:style w:type="paragraph" w:styleId="NormalWeb">
    <w:name w:val="Normal (Web)"/>
    <w:basedOn w:val="Normal"/>
    <w:uiPriority w:val="99"/>
    <w:unhideWhenUsed/>
    <w:rsid w:val="00C96BDE"/>
    <w:pPr>
      <w:spacing w:before="100" w:beforeAutospacing="1" w:after="100" w:afterAutospacing="1" w:line="240" w:lineRule="auto"/>
    </w:pPr>
    <w:rPr>
      <w:rFonts w:ascii="Verdana" w:eastAsia="Times New Roman" w:hAnsi="Verdana" w:cs="Times New Roman"/>
      <w:sz w:val="20"/>
      <w:szCs w:val="20"/>
      <w:lang w:eastAsia="es-MX"/>
    </w:rPr>
  </w:style>
  <w:style w:type="character" w:styleId="Textoennegrita">
    <w:name w:val="Strong"/>
    <w:basedOn w:val="Fuentedeprrafopredeter"/>
    <w:uiPriority w:val="22"/>
    <w:qFormat/>
    <w:rsid w:val="0068388C"/>
    <w:rPr>
      <w:b/>
      <w:bCs/>
    </w:rPr>
  </w:style>
  <w:style w:type="character" w:styleId="nfasis">
    <w:name w:val="Emphasis"/>
    <w:basedOn w:val="Fuentedeprrafopredeter"/>
    <w:uiPriority w:val="20"/>
    <w:qFormat/>
    <w:rsid w:val="0068388C"/>
    <w:rPr>
      <w:i/>
      <w:iCs/>
    </w:rPr>
  </w:style>
  <w:style w:type="paragraph" w:styleId="Textodeglobo">
    <w:name w:val="Balloon Text"/>
    <w:basedOn w:val="Normal"/>
    <w:link w:val="TextodegloboCar"/>
    <w:uiPriority w:val="99"/>
    <w:semiHidden/>
    <w:unhideWhenUsed/>
    <w:rsid w:val="00F511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1133"/>
    <w:rPr>
      <w:rFonts w:ascii="Segoe UI" w:hAnsi="Segoe UI" w:cs="Segoe UI"/>
      <w:sz w:val="18"/>
      <w:szCs w:val="18"/>
    </w:rPr>
  </w:style>
  <w:style w:type="character" w:customStyle="1" w:styleId="Ttulo5Car">
    <w:name w:val="Título 5 Car"/>
    <w:basedOn w:val="Fuentedeprrafopredeter"/>
    <w:link w:val="Ttulo5"/>
    <w:uiPriority w:val="9"/>
    <w:semiHidden/>
    <w:rsid w:val="00A073AD"/>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6706">
      <w:bodyDiv w:val="1"/>
      <w:marLeft w:val="0"/>
      <w:marRight w:val="0"/>
      <w:marTop w:val="0"/>
      <w:marBottom w:val="0"/>
      <w:divBdr>
        <w:top w:val="none" w:sz="0" w:space="0" w:color="auto"/>
        <w:left w:val="none" w:sz="0" w:space="0" w:color="auto"/>
        <w:bottom w:val="none" w:sz="0" w:space="0" w:color="auto"/>
        <w:right w:val="none" w:sz="0" w:space="0" w:color="auto"/>
      </w:divBdr>
    </w:div>
    <w:div w:id="334236618">
      <w:bodyDiv w:val="1"/>
      <w:marLeft w:val="0"/>
      <w:marRight w:val="0"/>
      <w:marTop w:val="0"/>
      <w:marBottom w:val="0"/>
      <w:divBdr>
        <w:top w:val="none" w:sz="0" w:space="0" w:color="auto"/>
        <w:left w:val="none" w:sz="0" w:space="0" w:color="auto"/>
        <w:bottom w:val="none" w:sz="0" w:space="0" w:color="auto"/>
        <w:right w:val="none" w:sz="0" w:space="0" w:color="auto"/>
      </w:divBdr>
    </w:div>
    <w:div w:id="346490178">
      <w:bodyDiv w:val="1"/>
      <w:marLeft w:val="0"/>
      <w:marRight w:val="0"/>
      <w:marTop w:val="0"/>
      <w:marBottom w:val="0"/>
      <w:divBdr>
        <w:top w:val="none" w:sz="0" w:space="0" w:color="auto"/>
        <w:left w:val="none" w:sz="0" w:space="0" w:color="auto"/>
        <w:bottom w:val="none" w:sz="0" w:space="0" w:color="auto"/>
        <w:right w:val="none" w:sz="0" w:space="0" w:color="auto"/>
      </w:divBdr>
    </w:div>
    <w:div w:id="476072128">
      <w:bodyDiv w:val="1"/>
      <w:marLeft w:val="0"/>
      <w:marRight w:val="0"/>
      <w:marTop w:val="0"/>
      <w:marBottom w:val="0"/>
      <w:divBdr>
        <w:top w:val="none" w:sz="0" w:space="0" w:color="auto"/>
        <w:left w:val="none" w:sz="0" w:space="0" w:color="auto"/>
        <w:bottom w:val="none" w:sz="0" w:space="0" w:color="auto"/>
        <w:right w:val="none" w:sz="0" w:space="0" w:color="auto"/>
      </w:divBdr>
    </w:div>
    <w:div w:id="486940611">
      <w:bodyDiv w:val="1"/>
      <w:marLeft w:val="0"/>
      <w:marRight w:val="0"/>
      <w:marTop w:val="0"/>
      <w:marBottom w:val="0"/>
      <w:divBdr>
        <w:top w:val="none" w:sz="0" w:space="0" w:color="auto"/>
        <w:left w:val="none" w:sz="0" w:space="0" w:color="auto"/>
        <w:bottom w:val="none" w:sz="0" w:space="0" w:color="auto"/>
        <w:right w:val="none" w:sz="0" w:space="0" w:color="auto"/>
      </w:divBdr>
    </w:div>
    <w:div w:id="498231650">
      <w:bodyDiv w:val="1"/>
      <w:marLeft w:val="0"/>
      <w:marRight w:val="0"/>
      <w:marTop w:val="0"/>
      <w:marBottom w:val="0"/>
      <w:divBdr>
        <w:top w:val="none" w:sz="0" w:space="0" w:color="auto"/>
        <w:left w:val="none" w:sz="0" w:space="0" w:color="auto"/>
        <w:bottom w:val="none" w:sz="0" w:space="0" w:color="auto"/>
        <w:right w:val="none" w:sz="0" w:space="0" w:color="auto"/>
      </w:divBdr>
    </w:div>
    <w:div w:id="622734954">
      <w:bodyDiv w:val="1"/>
      <w:marLeft w:val="0"/>
      <w:marRight w:val="0"/>
      <w:marTop w:val="0"/>
      <w:marBottom w:val="0"/>
      <w:divBdr>
        <w:top w:val="none" w:sz="0" w:space="0" w:color="auto"/>
        <w:left w:val="none" w:sz="0" w:space="0" w:color="auto"/>
        <w:bottom w:val="none" w:sz="0" w:space="0" w:color="auto"/>
        <w:right w:val="none" w:sz="0" w:space="0" w:color="auto"/>
      </w:divBdr>
    </w:div>
    <w:div w:id="627704722">
      <w:bodyDiv w:val="1"/>
      <w:marLeft w:val="0"/>
      <w:marRight w:val="0"/>
      <w:marTop w:val="0"/>
      <w:marBottom w:val="0"/>
      <w:divBdr>
        <w:top w:val="none" w:sz="0" w:space="0" w:color="auto"/>
        <w:left w:val="none" w:sz="0" w:space="0" w:color="auto"/>
        <w:bottom w:val="none" w:sz="0" w:space="0" w:color="auto"/>
        <w:right w:val="none" w:sz="0" w:space="0" w:color="auto"/>
      </w:divBdr>
    </w:div>
    <w:div w:id="675153713">
      <w:bodyDiv w:val="1"/>
      <w:marLeft w:val="0"/>
      <w:marRight w:val="0"/>
      <w:marTop w:val="0"/>
      <w:marBottom w:val="0"/>
      <w:divBdr>
        <w:top w:val="none" w:sz="0" w:space="0" w:color="auto"/>
        <w:left w:val="none" w:sz="0" w:space="0" w:color="auto"/>
        <w:bottom w:val="none" w:sz="0" w:space="0" w:color="auto"/>
        <w:right w:val="none" w:sz="0" w:space="0" w:color="auto"/>
      </w:divBdr>
    </w:div>
    <w:div w:id="693657999">
      <w:bodyDiv w:val="1"/>
      <w:marLeft w:val="0"/>
      <w:marRight w:val="0"/>
      <w:marTop w:val="0"/>
      <w:marBottom w:val="0"/>
      <w:divBdr>
        <w:top w:val="none" w:sz="0" w:space="0" w:color="auto"/>
        <w:left w:val="none" w:sz="0" w:space="0" w:color="auto"/>
        <w:bottom w:val="none" w:sz="0" w:space="0" w:color="auto"/>
        <w:right w:val="none" w:sz="0" w:space="0" w:color="auto"/>
      </w:divBdr>
    </w:div>
    <w:div w:id="704212086">
      <w:bodyDiv w:val="1"/>
      <w:marLeft w:val="0"/>
      <w:marRight w:val="0"/>
      <w:marTop w:val="0"/>
      <w:marBottom w:val="0"/>
      <w:divBdr>
        <w:top w:val="none" w:sz="0" w:space="0" w:color="auto"/>
        <w:left w:val="none" w:sz="0" w:space="0" w:color="auto"/>
        <w:bottom w:val="none" w:sz="0" w:space="0" w:color="auto"/>
        <w:right w:val="none" w:sz="0" w:space="0" w:color="auto"/>
      </w:divBdr>
    </w:div>
    <w:div w:id="730620419">
      <w:bodyDiv w:val="1"/>
      <w:marLeft w:val="0"/>
      <w:marRight w:val="0"/>
      <w:marTop w:val="0"/>
      <w:marBottom w:val="0"/>
      <w:divBdr>
        <w:top w:val="none" w:sz="0" w:space="0" w:color="auto"/>
        <w:left w:val="none" w:sz="0" w:space="0" w:color="auto"/>
        <w:bottom w:val="none" w:sz="0" w:space="0" w:color="auto"/>
        <w:right w:val="none" w:sz="0" w:space="0" w:color="auto"/>
      </w:divBdr>
    </w:div>
    <w:div w:id="816462097">
      <w:bodyDiv w:val="1"/>
      <w:marLeft w:val="0"/>
      <w:marRight w:val="0"/>
      <w:marTop w:val="0"/>
      <w:marBottom w:val="0"/>
      <w:divBdr>
        <w:top w:val="none" w:sz="0" w:space="0" w:color="auto"/>
        <w:left w:val="none" w:sz="0" w:space="0" w:color="auto"/>
        <w:bottom w:val="none" w:sz="0" w:space="0" w:color="auto"/>
        <w:right w:val="none" w:sz="0" w:space="0" w:color="auto"/>
      </w:divBdr>
      <w:divsChild>
        <w:div w:id="377894994">
          <w:marLeft w:val="0"/>
          <w:marRight w:val="0"/>
          <w:marTop w:val="0"/>
          <w:marBottom w:val="0"/>
          <w:divBdr>
            <w:top w:val="none" w:sz="0" w:space="0" w:color="auto"/>
            <w:left w:val="none" w:sz="0" w:space="0" w:color="auto"/>
            <w:bottom w:val="none" w:sz="0" w:space="0" w:color="auto"/>
            <w:right w:val="none" w:sz="0" w:space="0" w:color="auto"/>
          </w:divBdr>
          <w:divsChild>
            <w:div w:id="712313687">
              <w:marLeft w:val="0"/>
              <w:marRight w:val="0"/>
              <w:marTop w:val="0"/>
              <w:marBottom w:val="0"/>
              <w:divBdr>
                <w:top w:val="none" w:sz="0" w:space="0" w:color="auto"/>
                <w:left w:val="none" w:sz="0" w:space="0" w:color="auto"/>
                <w:bottom w:val="none" w:sz="0" w:space="0" w:color="auto"/>
                <w:right w:val="none" w:sz="0" w:space="0" w:color="auto"/>
              </w:divBdr>
              <w:divsChild>
                <w:div w:id="190076625">
                  <w:marLeft w:val="0"/>
                  <w:marRight w:val="0"/>
                  <w:marTop w:val="0"/>
                  <w:marBottom w:val="0"/>
                  <w:divBdr>
                    <w:top w:val="none" w:sz="0" w:space="0" w:color="auto"/>
                    <w:left w:val="none" w:sz="0" w:space="0" w:color="auto"/>
                    <w:bottom w:val="none" w:sz="0" w:space="0" w:color="auto"/>
                    <w:right w:val="none" w:sz="0" w:space="0" w:color="auto"/>
                  </w:divBdr>
                  <w:divsChild>
                    <w:div w:id="964428043">
                      <w:marLeft w:val="0"/>
                      <w:marRight w:val="0"/>
                      <w:marTop w:val="0"/>
                      <w:marBottom w:val="0"/>
                      <w:divBdr>
                        <w:top w:val="none" w:sz="0" w:space="0" w:color="auto"/>
                        <w:left w:val="none" w:sz="0" w:space="0" w:color="auto"/>
                        <w:bottom w:val="none" w:sz="0" w:space="0" w:color="auto"/>
                        <w:right w:val="none" w:sz="0" w:space="0" w:color="auto"/>
                      </w:divBdr>
                      <w:divsChild>
                        <w:div w:id="273027171">
                          <w:marLeft w:val="0"/>
                          <w:marRight w:val="0"/>
                          <w:marTop w:val="0"/>
                          <w:marBottom w:val="0"/>
                          <w:divBdr>
                            <w:top w:val="none" w:sz="0" w:space="0" w:color="auto"/>
                            <w:left w:val="none" w:sz="0" w:space="0" w:color="auto"/>
                            <w:bottom w:val="none" w:sz="0" w:space="0" w:color="auto"/>
                            <w:right w:val="none" w:sz="0" w:space="0" w:color="auto"/>
                          </w:divBdr>
                          <w:divsChild>
                            <w:div w:id="624165004">
                              <w:marLeft w:val="0"/>
                              <w:marRight w:val="0"/>
                              <w:marTop w:val="0"/>
                              <w:marBottom w:val="0"/>
                              <w:divBdr>
                                <w:top w:val="none" w:sz="0" w:space="0" w:color="auto"/>
                                <w:left w:val="none" w:sz="0" w:space="0" w:color="auto"/>
                                <w:bottom w:val="none" w:sz="0" w:space="0" w:color="auto"/>
                                <w:right w:val="none" w:sz="0" w:space="0" w:color="auto"/>
                              </w:divBdr>
                              <w:divsChild>
                                <w:div w:id="1352563788">
                                  <w:marLeft w:val="0"/>
                                  <w:marRight w:val="0"/>
                                  <w:marTop w:val="0"/>
                                  <w:marBottom w:val="0"/>
                                  <w:divBdr>
                                    <w:top w:val="none" w:sz="0" w:space="0" w:color="auto"/>
                                    <w:left w:val="none" w:sz="0" w:space="0" w:color="auto"/>
                                    <w:bottom w:val="none" w:sz="0" w:space="0" w:color="auto"/>
                                    <w:right w:val="none" w:sz="0" w:space="0" w:color="auto"/>
                                  </w:divBdr>
                                  <w:divsChild>
                                    <w:div w:id="734550568">
                                      <w:marLeft w:val="60"/>
                                      <w:marRight w:val="0"/>
                                      <w:marTop w:val="0"/>
                                      <w:marBottom w:val="0"/>
                                      <w:divBdr>
                                        <w:top w:val="none" w:sz="0" w:space="0" w:color="auto"/>
                                        <w:left w:val="none" w:sz="0" w:space="0" w:color="auto"/>
                                        <w:bottom w:val="none" w:sz="0" w:space="0" w:color="auto"/>
                                        <w:right w:val="none" w:sz="0" w:space="0" w:color="auto"/>
                                      </w:divBdr>
                                      <w:divsChild>
                                        <w:div w:id="1796093316">
                                          <w:marLeft w:val="0"/>
                                          <w:marRight w:val="0"/>
                                          <w:marTop w:val="0"/>
                                          <w:marBottom w:val="0"/>
                                          <w:divBdr>
                                            <w:top w:val="none" w:sz="0" w:space="0" w:color="auto"/>
                                            <w:left w:val="none" w:sz="0" w:space="0" w:color="auto"/>
                                            <w:bottom w:val="none" w:sz="0" w:space="0" w:color="auto"/>
                                            <w:right w:val="none" w:sz="0" w:space="0" w:color="auto"/>
                                          </w:divBdr>
                                          <w:divsChild>
                                            <w:div w:id="416286807">
                                              <w:marLeft w:val="0"/>
                                              <w:marRight w:val="0"/>
                                              <w:marTop w:val="0"/>
                                              <w:marBottom w:val="120"/>
                                              <w:divBdr>
                                                <w:top w:val="single" w:sz="6" w:space="0" w:color="F5F5F5"/>
                                                <w:left w:val="single" w:sz="6" w:space="0" w:color="F5F5F5"/>
                                                <w:bottom w:val="single" w:sz="6" w:space="0" w:color="F5F5F5"/>
                                                <w:right w:val="single" w:sz="6" w:space="0" w:color="F5F5F5"/>
                                              </w:divBdr>
                                              <w:divsChild>
                                                <w:div w:id="669794317">
                                                  <w:marLeft w:val="0"/>
                                                  <w:marRight w:val="0"/>
                                                  <w:marTop w:val="0"/>
                                                  <w:marBottom w:val="0"/>
                                                  <w:divBdr>
                                                    <w:top w:val="none" w:sz="0" w:space="0" w:color="auto"/>
                                                    <w:left w:val="none" w:sz="0" w:space="0" w:color="auto"/>
                                                    <w:bottom w:val="none" w:sz="0" w:space="0" w:color="auto"/>
                                                    <w:right w:val="none" w:sz="0" w:space="0" w:color="auto"/>
                                                  </w:divBdr>
                                                  <w:divsChild>
                                                    <w:div w:id="221796412">
                                                      <w:marLeft w:val="0"/>
                                                      <w:marRight w:val="0"/>
                                                      <w:marTop w:val="0"/>
                                                      <w:marBottom w:val="0"/>
                                                      <w:divBdr>
                                                        <w:top w:val="none" w:sz="0" w:space="0" w:color="auto"/>
                                                        <w:left w:val="none" w:sz="0" w:space="0" w:color="auto"/>
                                                        <w:bottom w:val="none" w:sz="0" w:space="0" w:color="auto"/>
                                                        <w:right w:val="none" w:sz="0" w:space="0" w:color="auto"/>
                                                      </w:divBdr>
                                                    </w:div>
                                                  </w:divsChild>
                                                </w:div>
                                                <w:div w:id="1266578257">
                                                  <w:marLeft w:val="0"/>
                                                  <w:marRight w:val="0"/>
                                                  <w:marTop w:val="0"/>
                                                  <w:marBottom w:val="0"/>
                                                  <w:divBdr>
                                                    <w:top w:val="none" w:sz="0" w:space="0" w:color="auto"/>
                                                    <w:left w:val="none" w:sz="0" w:space="0" w:color="auto"/>
                                                    <w:bottom w:val="none" w:sz="0" w:space="0" w:color="auto"/>
                                                    <w:right w:val="none" w:sz="0" w:space="0" w:color="auto"/>
                                                  </w:divBdr>
                                                  <w:divsChild>
                                                    <w:div w:id="14732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540117">
      <w:bodyDiv w:val="1"/>
      <w:marLeft w:val="0"/>
      <w:marRight w:val="0"/>
      <w:marTop w:val="0"/>
      <w:marBottom w:val="0"/>
      <w:divBdr>
        <w:top w:val="none" w:sz="0" w:space="0" w:color="auto"/>
        <w:left w:val="none" w:sz="0" w:space="0" w:color="auto"/>
        <w:bottom w:val="none" w:sz="0" w:space="0" w:color="auto"/>
        <w:right w:val="none" w:sz="0" w:space="0" w:color="auto"/>
      </w:divBdr>
    </w:div>
    <w:div w:id="848982203">
      <w:bodyDiv w:val="1"/>
      <w:marLeft w:val="0"/>
      <w:marRight w:val="0"/>
      <w:marTop w:val="0"/>
      <w:marBottom w:val="0"/>
      <w:divBdr>
        <w:top w:val="none" w:sz="0" w:space="0" w:color="auto"/>
        <w:left w:val="none" w:sz="0" w:space="0" w:color="auto"/>
        <w:bottom w:val="none" w:sz="0" w:space="0" w:color="auto"/>
        <w:right w:val="none" w:sz="0" w:space="0" w:color="auto"/>
      </w:divBdr>
    </w:div>
    <w:div w:id="991251591">
      <w:bodyDiv w:val="1"/>
      <w:marLeft w:val="0"/>
      <w:marRight w:val="0"/>
      <w:marTop w:val="0"/>
      <w:marBottom w:val="0"/>
      <w:divBdr>
        <w:top w:val="none" w:sz="0" w:space="0" w:color="auto"/>
        <w:left w:val="none" w:sz="0" w:space="0" w:color="auto"/>
        <w:bottom w:val="none" w:sz="0" w:space="0" w:color="auto"/>
        <w:right w:val="none" w:sz="0" w:space="0" w:color="auto"/>
      </w:divBdr>
    </w:div>
    <w:div w:id="1005130428">
      <w:bodyDiv w:val="1"/>
      <w:marLeft w:val="0"/>
      <w:marRight w:val="0"/>
      <w:marTop w:val="0"/>
      <w:marBottom w:val="0"/>
      <w:divBdr>
        <w:top w:val="none" w:sz="0" w:space="0" w:color="auto"/>
        <w:left w:val="none" w:sz="0" w:space="0" w:color="auto"/>
        <w:bottom w:val="none" w:sz="0" w:space="0" w:color="auto"/>
        <w:right w:val="none" w:sz="0" w:space="0" w:color="auto"/>
      </w:divBdr>
    </w:div>
    <w:div w:id="1133983265">
      <w:bodyDiv w:val="1"/>
      <w:marLeft w:val="0"/>
      <w:marRight w:val="0"/>
      <w:marTop w:val="0"/>
      <w:marBottom w:val="0"/>
      <w:divBdr>
        <w:top w:val="none" w:sz="0" w:space="0" w:color="auto"/>
        <w:left w:val="none" w:sz="0" w:space="0" w:color="auto"/>
        <w:bottom w:val="none" w:sz="0" w:space="0" w:color="auto"/>
        <w:right w:val="none" w:sz="0" w:space="0" w:color="auto"/>
      </w:divBdr>
    </w:div>
    <w:div w:id="1289511991">
      <w:bodyDiv w:val="1"/>
      <w:marLeft w:val="0"/>
      <w:marRight w:val="0"/>
      <w:marTop w:val="0"/>
      <w:marBottom w:val="0"/>
      <w:divBdr>
        <w:top w:val="none" w:sz="0" w:space="0" w:color="auto"/>
        <w:left w:val="none" w:sz="0" w:space="0" w:color="auto"/>
        <w:bottom w:val="none" w:sz="0" w:space="0" w:color="auto"/>
        <w:right w:val="none" w:sz="0" w:space="0" w:color="auto"/>
      </w:divBdr>
    </w:div>
    <w:div w:id="1562254775">
      <w:bodyDiv w:val="1"/>
      <w:marLeft w:val="0"/>
      <w:marRight w:val="0"/>
      <w:marTop w:val="0"/>
      <w:marBottom w:val="0"/>
      <w:divBdr>
        <w:top w:val="none" w:sz="0" w:space="0" w:color="auto"/>
        <w:left w:val="none" w:sz="0" w:space="0" w:color="auto"/>
        <w:bottom w:val="none" w:sz="0" w:space="0" w:color="auto"/>
        <w:right w:val="none" w:sz="0" w:space="0" w:color="auto"/>
      </w:divBdr>
    </w:div>
    <w:div w:id="1646622406">
      <w:bodyDiv w:val="1"/>
      <w:marLeft w:val="0"/>
      <w:marRight w:val="0"/>
      <w:marTop w:val="0"/>
      <w:marBottom w:val="0"/>
      <w:divBdr>
        <w:top w:val="none" w:sz="0" w:space="0" w:color="auto"/>
        <w:left w:val="none" w:sz="0" w:space="0" w:color="auto"/>
        <w:bottom w:val="none" w:sz="0" w:space="0" w:color="auto"/>
        <w:right w:val="none" w:sz="0" w:space="0" w:color="auto"/>
      </w:divBdr>
    </w:div>
    <w:div w:id="1661345273">
      <w:bodyDiv w:val="1"/>
      <w:marLeft w:val="0"/>
      <w:marRight w:val="0"/>
      <w:marTop w:val="0"/>
      <w:marBottom w:val="0"/>
      <w:divBdr>
        <w:top w:val="none" w:sz="0" w:space="0" w:color="auto"/>
        <w:left w:val="none" w:sz="0" w:space="0" w:color="auto"/>
        <w:bottom w:val="none" w:sz="0" w:space="0" w:color="auto"/>
        <w:right w:val="none" w:sz="0" w:space="0" w:color="auto"/>
      </w:divBdr>
    </w:div>
    <w:div w:id="1670910893">
      <w:bodyDiv w:val="1"/>
      <w:marLeft w:val="0"/>
      <w:marRight w:val="0"/>
      <w:marTop w:val="0"/>
      <w:marBottom w:val="0"/>
      <w:divBdr>
        <w:top w:val="none" w:sz="0" w:space="0" w:color="auto"/>
        <w:left w:val="none" w:sz="0" w:space="0" w:color="auto"/>
        <w:bottom w:val="none" w:sz="0" w:space="0" w:color="auto"/>
        <w:right w:val="none" w:sz="0" w:space="0" w:color="auto"/>
      </w:divBdr>
      <w:divsChild>
        <w:div w:id="691732786">
          <w:marLeft w:val="0"/>
          <w:marRight w:val="0"/>
          <w:marTop w:val="0"/>
          <w:marBottom w:val="0"/>
          <w:divBdr>
            <w:top w:val="none" w:sz="0" w:space="0" w:color="auto"/>
            <w:left w:val="none" w:sz="0" w:space="0" w:color="auto"/>
            <w:bottom w:val="none" w:sz="0" w:space="0" w:color="auto"/>
            <w:right w:val="none" w:sz="0" w:space="0" w:color="auto"/>
          </w:divBdr>
          <w:divsChild>
            <w:div w:id="65883392">
              <w:marLeft w:val="-225"/>
              <w:marRight w:val="-225"/>
              <w:marTop w:val="0"/>
              <w:marBottom w:val="0"/>
              <w:divBdr>
                <w:top w:val="none" w:sz="0" w:space="0" w:color="auto"/>
                <w:left w:val="none" w:sz="0" w:space="0" w:color="auto"/>
                <w:bottom w:val="none" w:sz="0" w:space="0" w:color="auto"/>
                <w:right w:val="none" w:sz="0" w:space="0" w:color="auto"/>
              </w:divBdr>
              <w:divsChild>
                <w:div w:id="5846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35314">
      <w:bodyDiv w:val="1"/>
      <w:marLeft w:val="0"/>
      <w:marRight w:val="0"/>
      <w:marTop w:val="0"/>
      <w:marBottom w:val="0"/>
      <w:divBdr>
        <w:top w:val="none" w:sz="0" w:space="0" w:color="auto"/>
        <w:left w:val="none" w:sz="0" w:space="0" w:color="auto"/>
        <w:bottom w:val="none" w:sz="0" w:space="0" w:color="auto"/>
        <w:right w:val="none" w:sz="0" w:space="0" w:color="auto"/>
      </w:divBdr>
    </w:div>
    <w:div w:id="1856378526">
      <w:bodyDiv w:val="1"/>
      <w:marLeft w:val="0"/>
      <w:marRight w:val="0"/>
      <w:marTop w:val="0"/>
      <w:marBottom w:val="0"/>
      <w:divBdr>
        <w:top w:val="none" w:sz="0" w:space="0" w:color="auto"/>
        <w:left w:val="none" w:sz="0" w:space="0" w:color="auto"/>
        <w:bottom w:val="none" w:sz="0" w:space="0" w:color="auto"/>
        <w:right w:val="none" w:sz="0" w:space="0" w:color="auto"/>
      </w:divBdr>
    </w:div>
    <w:div w:id="1957370629">
      <w:bodyDiv w:val="1"/>
      <w:marLeft w:val="0"/>
      <w:marRight w:val="0"/>
      <w:marTop w:val="0"/>
      <w:marBottom w:val="0"/>
      <w:divBdr>
        <w:top w:val="none" w:sz="0" w:space="0" w:color="auto"/>
        <w:left w:val="none" w:sz="0" w:space="0" w:color="auto"/>
        <w:bottom w:val="none" w:sz="0" w:space="0" w:color="auto"/>
        <w:right w:val="none" w:sz="0" w:space="0" w:color="auto"/>
      </w:divBdr>
    </w:div>
    <w:div w:id="2076733108">
      <w:bodyDiv w:val="1"/>
      <w:marLeft w:val="0"/>
      <w:marRight w:val="0"/>
      <w:marTop w:val="0"/>
      <w:marBottom w:val="0"/>
      <w:divBdr>
        <w:top w:val="none" w:sz="0" w:space="0" w:color="auto"/>
        <w:left w:val="none" w:sz="0" w:space="0" w:color="auto"/>
        <w:bottom w:val="none" w:sz="0" w:space="0" w:color="auto"/>
        <w:right w:val="none" w:sz="0" w:space="0" w:color="auto"/>
      </w:divBdr>
    </w:div>
    <w:div w:id="2092384328">
      <w:bodyDiv w:val="1"/>
      <w:marLeft w:val="0"/>
      <w:marRight w:val="0"/>
      <w:marTop w:val="0"/>
      <w:marBottom w:val="0"/>
      <w:divBdr>
        <w:top w:val="none" w:sz="0" w:space="0" w:color="auto"/>
        <w:left w:val="none" w:sz="0" w:space="0" w:color="auto"/>
        <w:bottom w:val="none" w:sz="0" w:space="0" w:color="auto"/>
        <w:right w:val="none" w:sz="0" w:space="0" w:color="auto"/>
      </w:divBdr>
    </w:div>
    <w:div w:id="2109420564">
      <w:bodyDiv w:val="1"/>
      <w:marLeft w:val="0"/>
      <w:marRight w:val="0"/>
      <w:marTop w:val="0"/>
      <w:marBottom w:val="0"/>
      <w:divBdr>
        <w:top w:val="none" w:sz="0" w:space="0" w:color="auto"/>
        <w:left w:val="none" w:sz="0" w:space="0" w:color="auto"/>
        <w:bottom w:val="none" w:sz="0" w:space="0" w:color="auto"/>
        <w:right w:val="none" w:sz="0" w:space="0" w:color="auto"/>
      </w:divBdr>
      <w:divsChild>
        <w:div w:id="1459757720">
          <w:marLeft w:val="0"/>
          <w:marRight w:val="0"/>
          <w:marTop w:val="0"/>
          <w:marBottom w:val="0"/>
          <w:divBdr>
            <w:top w:val="none" w:sz="0" w:space="0" w:color="auto"/>
            <w:left w:val="none" w:sz="0" w:space="0" w:color="auto"/>
            <w:bottom w:val="none" w:sz="0" w:space="0" w:color="auto"/>
            <w:right w:val="none" w:sz="0" w:space="0" w:color="auto"/>
          </w:divBdr>
        </w:div>
      </w:divsChild>
    </w:div>
    <w:div w:id="2135100516">
      <w:bodyDiv w:val="1"/>
      <w:marLeft w:val="0"/>
      <w:marRight w:val="0"/>
      <w:marTop w:val="0"/>
      <w:marBottom w:val="0"/>
      <w:divBdr>
        <w:top w:val="none" w:sz="0" w:space="0" w:color="auto"/>
        <w:left w:val="none" w:sz="0" w:space="0" w:color="auto"/>
        <w:bottom w:val="none" w:sz="0" w:space="0" w:color="auto"/>
        <w:right w:val="none" w:sz="0" w:space="0" w:color="auto"/>
      </w:divBdr>
      <w:divsChild>
        <w:div w:id="924412902">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cullen-internationa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link.springer.com/journal/10272/46/6/page/1" TargetMode="Externa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ift.org.mx/comunicacion-y-medio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ft.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BA59D-0087-4BFE-B299-5D465DF8E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6247</Words>
  <Characters>34359</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Escobar Briones</dc:creator>
  <cp:keywords/>
  <dc:description/>
  <cp:lastModifiedBy>Rebeca Escobar Briones</cp:lastModifiedBy>
  <cp:revision>3</cp:revision>
  <cp:lastPrinted>2016-05-20T16:23:00Z</cp:lastPrinted>
  <dcterms:created xsi:type="dcterms:W3CDTF">2016-07-05T20:25:00Z</dcterms:created>
  <dcterms:modified xsi:type="dcterms:W3CDTF">2016-07-05T20:27:00Z</dcterms:modified>
</cp:coreProperties>
</file>